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EF0B1" w14:textId="7DB5AD0F" w:rsidR="006978CF" w:rsidRPr="005C0DD9" w:rsidRDefault="002B7A74" w:rsidP="000C4E9F">
      <w:pPr>
        <w:spacing w:after="0" w:line="360" w:lineRule="auto"/>
        <w:jc w:val="both"/>
        <w:rPr>
          <w:rFonts w:ascii="Arial" w:hAnsi="Arial" w:cs="Arial"/>
          <w:b/>
          <w:bCs/>
          <w:color w:val="000000" w:themeColor="text1"/>
          <w:sz w:val="40"/>
          <w:szCs w:val="40"/>
        </w:rPr>
      </w:pPr>
      <w:r>
        <w:rPr>
          <w:rFonts w:ascii="Arial" w:hAnsi="Arial"/>
          <w:sz w:val="40"/>
        </w:rPr>
        <w:t>Nowość: NOVACAT F 3100 OPTICURVE</w:t>
      </w:r>
    </w:p>
    <w:p w14:paraId="4D5A3D9A" w14:textId="143368EF" w:rsidR="004D73A8" w:rsidRDefault="004D73A8" w:rsidP="00EA6D24">
      <w:pPr>
        <w:spacing w:after="0" w:line="360" w:lineRule="auto"/>
        <w:rPr>
          <w:rFonts w:ascii="Arial" w:eastAsia="Times New Roman" w:hAnsi="Arial" w:cs="Arial"/>
          <w:sz w:val="32"/>
          <w:szCs w:val="32"/>
        </w:rPr>
      </w:pPr>
      <w:r>
        <w:rPr>
          <w:rFonts w:ascii="Arial" w:hAnsi="Arial"/>
          <w:sz w:val="32"/>
        </w:rPr>
        <w:t xml:space="preserve">Przednia kosiarka Pöttinger z automatycznym system przesunięcia po łuku </w:t>
      </w:r>
    </w:p>
    <w:p w14:paraId="77C7CCB7" w14:textId="5CA17295" w:rsidR="00AD1CC3" w:rsidRDefault="0045609B" w:rsidP="000C4E9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</w:rPr>
        <w:t>Proces koszenia chroniący darń jest podstawą dla pozyskania wysokiej jakości paszy. Kosiarki Pöttinger spełniają najwyższe wymagania i zapewniają optymalne kopiowani</w:t>
      </w:r>
      <w:r w:rsidR="00E91D08">
        <w:rPr>
          <w:rFonts w:ascii="Arial" w:hAnsi="Arial"/>
          <w:sz w:val="24"/>
        </w:rPr>
        <w:t>e</w:t>
      </w:r>
      <w:r>
        <w:rPr>
          <w:rFonts w:ascii="Arial" w:hAnsi="Arial"/>
          <w:sz w:val="24"/>
        </w:rPr>
        <w:t xml:space="preserve"> nierówności pola, niskie straty paszy oraz najwyższą precyzję pracy, bez czasochłonnej obsługi. Znany specjalista od maszyn do zbioru zielonek wprowadza  kolejną innowację - kosiarkę NOVACAT F 3100 z automatycznym system przesunięcia po łuku: Przesunięcie przedniej kosiarki w bok gwarantuje podczas jazdy w zakręcie i na stoku optymalne pokrycie zakresu pracy z kosiarką tylną i jazdę w wolnym od paszy śladzie. Łukowata konstrukcja umożliwia wykorzystanie całej szerokości roboczej belki koszącej, a także uzyskanie maksymalnej wydajność pracy kombinacji koszącej. Ponadto w systemach z przesunięciem w </w:t>
      </w:r>
      <w:r w:rsidRPr="00D35E4A">
        <w:rPr>
          <w:rFonts w:ascii="Arial" w:hAnsi="Arial"/>
          <w:sz w:val="24"/>
        </w:rPr>
        <w:t>linii prostej</w:t>
      </w:r>
      <w:r>
        <w:rPr>
          <w:rFonts w:ascii="Arial" w:hAnsi="Arial"/>
          <w:sz w:val="24"/>
        </w:rPr>
        <w:t xml:space="preserve"> zostaje kilka centymetrów w zapasie. </w:t>
      </w:r>
    </w:p>
    <w:p w14:paraId="5FD556E3" w14:textId="30AEDA6F" w:rsidR="00AD1CC3" w:rsidRPr="00AD1CC3" w:rsidRDefault="00AD1CC3" w:rsidP="000C4E9F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Czyste cięcie</w:t>
      </w:r>
    </w:p>
    <w:p w14:paraId="3D48B3F0" w14:textId="063656A6" w:rsidR="00E035C2" w:rsidRDefault="00DB4045" w:rsidP="00E5746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</w:rPr>
        <w:t xml:space="preserve">Nawet jeśli ciągnik podczas pokonywania zakrętów lub wzniesień zjeżdża na bok - dzięki przesunięciu w kierunku wewnętrznego promienia zakrętu, tylna opona ciągnika nie najeżdża na nieskoszoną paszę. Ponadto, dzięki optymalnemu nakładaniu się pola pracy z kosiarką tylną, cała pasza zostaje skoszona. </w:t>
      </w:r>
    </w:p>
    <w:p w14:paraId="4693CD27" w14:textId="71AAB759" w:rsidR="00F15739" w:rsidRPr="00E5746A" w:rsidRDefault="00F15739" w:rsidP="00E5746A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Komfort:</w:t>
      </w:r>
    </w:p>
    <w:p w14:paraId="3E36FB51" w14:textId="2C3C9D99" w:rsidR="007A4977" w:rsidRDefault="007A4977" w:rsidP="000C4E9F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</w:rPr>
        <w:t xml:space="preserve">Dostępny jako opcja pakiet automatyczny kompatybilny z ISOBUS steruje kosiarką w lewo lub w prawo, w zależności od kąta skrętu ciągnika lub stopnia nachylenia zbocza. Operator(ka) ciągnika jest odciążony(a), ponieważ nie musi korygować toru jazdy. Oznacza to maksymalny komfort pracy. </w:t>
      </w:r>
    </w:p>
    <w:p w14:paraId="53B81FB0" w14:textId="6A7D0D73" w:rsidR="004D75DB" w:rsidRPr="00D61F36" w:rsidRDefault="004D75DB" w:rsidP="004D75DB">
      <w:pPr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Szczególne zalety</w:t>
      </w:r>
    </w:p>
    <w:p w14:paraId="5DECC4C1" w14:textId="0CAD84AF" w:rsidR="004D75DB" w:rsidRDefault="007F1976" w:rsidP="004D75D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/>
          <w:sz w:val="24"/>
        </w:rPr>
        <w:t xml:space="preserve">Szczególną zaletą nowego rozwiązania jest możliwość reagowania na zmieniający się stopień pokrycia pól pracy między kosiarką przednią i ciągnikiem lub </w:t>
      </w:r>
      <w:proofErr w:type="spellStart"/>
      <w:r>
        <w:rPr>
          <w:rFonts w:ascii="Arial" w:hAnsi="Arial"/>
          <w:sz w:val="24"/>
        </w:rPr>
        <w:t>kosiark</w:t>
      </w:r>
      <w:proofErr w:type="spellEnd"/>
      <w:r>
        <w:rPr>
          <w:rFonts w:ascii="Arial" w:hAnsi="Arial"/>
          <w:sz w:val="24"/>
        </w:rPr>
        <w:t>(ą)</w:t>
      </w:r>
      <w:proofErr w:type="spellStart"/>
      <w:r>
        <w:rPr>
          <w:rFonts w:ascii="Arial" w:hAnsi="Arial"/>
          <w:sz w:val="24"/>
        </w:rPr>
        <w:t>ami</w:t>
      </w:r>
      <w:proofErr w:type="spellEnd"/>
      <w:r>
        <w:rPr>
          <w:rFonts w:ascii="Arial" w:hAnsi="Arial"/>
          <w:sz w:val="24"/>
        </w:rPr>
        <w:t xml:space="preserve"> </w:t>
      </w:r>
      <w:proofErr w:type="spellStart"/>
      <w:r>
        <w:rPr>
          <w:rFonts w:ascii="Arial" w:hAnsi="Arial"/>
          <w:sz w:val="24"/>
        </w:rPr>
        <w:t>tyln</w:t>
      </w:r>
      <w:proofErr w:type="spellEnd"/>
      <w:r>
        <w:rPr>
          <w:rFonts w:ascii="Arial" w:hAnsi="Arial"/>
          <w:sz w:val="24"/>
        </w:rPr>
        <w:t>(ą)</w:t>
      </w:r>
      <w:proofErr w:type="spellStart"/>
      <w:r>
        <w:rPr>
          <w:rFonts w:ascii="Arial" w:hAnsi="Arial"/>
          <w:sz w:val="24"/>
        </w:rPr>
        <w:t>ymi</w:t>
      </w:r>
      <w:proofErr w:type="spellEnd"/>
      <w:r>
        <w:rPr>
          <w:rFonts w:ascii="Arial" w:hAnsi="Arial"/>
          <w:sz w:val="24"/>
        </w:rPr>
        <w:t xml:space="preserve"> oraz automatyzacja tego procesu. Dzięki temu ciągnik nie przejeżdża po paszy, a nieskoszona trawa nie zostaje na polu - ani na zboczu, ani na zakręcie. Kolejne maszyny mogą pracować bez żadnych problemów, a podczas następnego </w:t>
      </w:r>
      <w:r>
        <w:rPr>
          <w:rFonts w:ascii="Arial" w:hAnsi="Arial"/>
          <w:sz w:val="24"/>
        </w:rPr>
        <w:lastRenderedPageBreak/>
        <w:t>pokosu nie jest zbierany stary odrost. Tryb automatyczny pozwala operatorowi skoncentrować się na obsłudze ciągnika i obserwacji otoczenia. Dodatkowo cały proces odbywa się w myśl idei gospodarki zrównoważonej: ograniczenie manewrów zawracania na polu/łące zmniejsza stopień zagęszczenia gleby, a praca jest bardziej wydajna dzięki oszczędności czasu i odciążeniu operatora(ki).</w:t>
      </w:r>
    </w:p>
    <w:p w14:paraId="6E7F4FE3" w14:textId="77777777" w:rsidR="00D61F36" w:rsidRPr="00E91D08" w:rsidRDefault="00D61F36" w:rsidP="007F40D7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2FB3379B" w14:textId="27C5E8C3" w:rsidR="007F40D7" w:rsidRDefault="007F40D7" w:rsidP="007F40D7">
      <w:pPr>
        <w:spacing w:line="360" w:lineRule="auto"/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Podgląd zdjęć:</w:t>
      </w:r>
    </w:p>
    <w:p w14:paraId="482EC34E" w14:textId="77777777" w:rsidR="00550EF6" w:rsidRPr="005F76A4" w:rsidRDefault="00550EF6" w:rsidP="00550EF6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  <w:lang w:val="de-AT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0EF6" w14:paraId="1F8D2E17" w14:textId="77777777" w:rsidTr="00DD3EAF">
        <w:tc>
          <w:tcPr>
            <w:tcW w:w="4673" w:type="dxa"/>
          </w:tcPr>
          <w:p w14:paraId="45076EF6" w14:textId="77777777" w:rsidR="00550EF6" w:rsidRDefault="00550EF6" w:rsidP="00DD3EAF">
            <w:pPr>
              <w:rPr>
                <w:lang w:val="it-IT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E39D83B" wp14:editId="1C2937F6">
                  <wp:simplePos x="0" y="0"/>
                  <wp:positionH relativeFrom="column">
                    <wp:posOffset>304800</wp:posOffset>
                  </wp:positionH>
                  <wp:positionV relativeFrom="paragraph">
                    <wp:posOffset>115570</wp:posOffset>
                  </wp:positionV>
                  <wp:extent cx="1654810" cy="1104900"/>
                  <wp:effectExtent l="0" t="0" r="2540" b="0"/>
                  <wp:wrapTopAndBottom/>
                  <wp:docPr id="1533158755" name="Grafik 1" descr="Ein Bild, das Gras, Screenshot, Grün, Spielplatz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3158755" name="Grafik 1" descr="Ein Bild, das Gras, Screenshot, Grün, Spielplatz enthält.&#10;&#10;Automatisch generierte Beschrei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481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89" w:type="dxa"/>
          </w:tcPr>
          <w:p w14:paraId="4938B539" w14:textId="77777777" w:rsidR="00550EF6" w:rsidRDefault="00550EF6" w:rsidP="00DD3EAF">
            <w:pPr>
              <w:rPr>
                <w:lang w:val="it-IT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74549AC0" wp14:editId="6CC1B567">
                  <wp:simplePos x="0" y="0"/>
                  <wp:positionH relativeFrom="column">
                    <wp:posOffset>565150</wp:posOffset>
                  </wp:positionH>
                  <wp:positionV relativeFrom="paragraph">
                    <wp:posOffset>125095</wp:posOffset>
                  </wp:positionV>
                  <wp:extent cx="1590675" cy="1061775"/>
                  <wp:effectExtent l="0" t="0" r="0" b="5080"/>
                  <wp:wrapNone/>
                  <wp:docPr id="326670606" name="Grafik 2" descr="Ein Bild, das Gras, draußen, Himmel, Traktor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6670606" name="Grafik 2" descr="Ein Bild, das Gras, draußen, Himmel, Traktor enthält.&#10;&#10;Automatisch generierte Beschreibu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106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50EF6" w:rsidRPr="00B625D8" w14:paraId="094C52F4" w14:textId="77777777" w:rsidTr="00DD3EAF">
        <w:tc>
          <w:tcPr>
            <w:tcW w:w="4673" w:type="dxa"/>
          </w:tcPr>
          <w:p w14:paraId="062DEECB" w14:textId="77777777" w:rsidR="00550EF6" w:rsidRPr="00B625D8" w:rsidRDefault="00550EF6" w:rsidP="00DD3EAF">
            <w:pPr>
              <w:pStyle w:val="berschrift1"/>
              <w:shd w:val="clear" w:color="auto" w:fill="FFFFFF"/>
              <w:spacing w:before="0" w:beforeAutospacing="0" w:after="0" w:afterAutospacing="0"/>
              <w:jc w:val="center"/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</w:pPr>
            <w:r w:rsidRPr="00B625D8"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  <w:t xml:space="preserve">NOVACAT F 3100 OPTICURVE, </w:t>
            </w:r>
          </w:p>
          <w:p w14:paraId="2B2E8B55" w14:textId="77777777" w:rsidR="00550EF6" w:rsidRPr="00B625D8" w:rsidRDefault="00550EF6" w:rsidP="00DD3EAF">
            <w:pPr>
              <w:pStyle w:val="berschrift1"/>
              <w:shd w:val="clear" w:color="auto" w:fill="FFFFFF"/>
              <w:spacing w:before="0" w:beforeAutospacing="0" w:after="0" w:afterAutospacing="0"/>
              <w:jc w:val="center"/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</w:pPr>
            <w:r w:rsidRPr="00B625D8"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  <w:t>NOVACAT H 11200</w:t>
            </w:r>
          </w:p>
        </w:tc>
        <w:tc>
          <w:tcPr>
            <w:tcW w:w="4389" w:type="dxa"/>
          </w:tcPr>
          <w:p w14:paraId="33A40E73" w14:textId="77777777" w:rsidR="00550EF6" w:rsidRPr="00B625D8" w:rsidRDefault="00550EF6" w:rsidP="00DD3EAF">
            <w:pPr>
              <w:pStyle w:val="berschrift1"/>
              <w:shd w:val="clear" w:color="auto" w:fill="FFFFFF"/>
              <w:spacing w:before="0" w:beforeAutospacing="0" w:after="0" w:afterAutospacing="0"/>
              <w:jc w:val="center"/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</w:pPr>
            <w:r w:rsidRPr="00B625D8"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  <w:t xml:space="preserve">NOVACAT F 3100 OPTICURVE, </w:t>
            </w:r>
          </w:p>
          <w:p w14:paraId="37CB3210" w14:textId="77777777" w:rsidR="00550EF6" w:rsidRPr="00B625D8" w:rsidRDefault="00550EF6" w:rsidP="00DD3EAF">
            <w:pPr>
              <w:pStyle w:val="berschrift1"/>
              <w:shd w:val="clear" w:color="auto" w:fill="FFFFFF"/>
              <w:spacing w:before="0" w:beforeAutospacing="0" w:after="0" w:afterAutospacing="0"/>
              <w:jc w:val="center"/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</w:pPr>
            <w:r w:rsidRPr="00B625D8">
              <w:rPr>
                <w:rFonts w:ascii="Arial" w:hAnsi="Arial" w:cs="Arial"/>
                <w:b w:val="0"/>
                <w:bCs w:val="0"/>
                <w:kern w:val="0"/>
                <w:sz w:val="22"/>
                <w:szCs w:val="22"/>
                <w:lang w:val="it-IT" w:eastAsia="de-DE"/>
              </w:rPr>
              <w:t>NOVACAT H 11200</w:t>
            </w:r>
          </w:p>
        </w:tc>
      </w:tr>
      <w:tr w:rsidR="00550EF6" w:rsidRPr="00974DF3" w14:paraId="3887D66D" w14:textId="77777777" w:rsidTr="00DD3EAF">
        <w:tc>
          <w:tcPr>
            <w:tcW w:w="4673" w:type="dxa"/>
          </w:tcPr>
          <w:p w14:paraId="50170486" w14:textId="77777777" w:rsidR="00550EF6" w:rsidRPr="00CF57ED" w:rsidRDefault="00B625D8" w:rsidP="00DD3EAF">
            <w:pPr>
              <w:jc w:val="center"/>
              <w:rPr>
                <w:rFonts w:ascii="Arial" w:hAnsi="Arial" w:cs="Arial"/>
              </w:rPr>
            </w:pPr>
            <w:hyperlink r:id="rId12" w:history="1">
              <w:r w:rsidR="00550EF6" w:rsidRPr="00CF57ED">
                <w:rPr>
                  <w:rStyle w:val="Hyperlink"/>
                  <w:rFonts w:ascii="Arial" w:hAnsi="Arial" w:cs="Arial"/>
                </w:rPr>
                <w:t>https://www.poettinger.at/de_at/newsroom/pressebild/135624</w:t>
              </w:r>
            </w:hyperlink>
            <w:r w:rsidR="00550EF6" w:rsidRPr="00CF57ED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389" w:type="dxa"/>
          </w:tcPr>
          <w:p w14:paraId="1E157720" w14:textId="77777777" w:rsidR="00550EF6" w:rsidRPr="00CF57ED" w:rsidRDefault="00B625D8" w:rsidP="00DD3EAF">
            <w:pPr>
              <w:jc w:val="center"/>
              <w:rPr>
                <w:rFonts w:ascii="Arial" w:hAnsi="Arial" w:cs="Arial"/>
                <w:bCs/>
              </w:rPr>
            </w:pPr>
            <w:hyperlink r:id="rId13" w:history="1">
              <w:r w:rsidR="00550EF6" w:rsidRPr="00CF57ED">
                <w:rPr>
                  <w:rStyle w:val="Hyperlink"/>
                  <w:rFonts w:ascii="Arial" w:hAnsi="Arial" w:cs="Arial"/>
                </w:rPr>
                <w:t>https://www.poettinger.at/de_at/newsroom/pressebild/135622</w:t>
              </w:r>
            </w:hyperlink>
            <w:r w:rsidR="00550EF6" w:rsidRPr="00CF57ED">
              <w:rPr>
                <w:rFonts w:ascii="Arial" w:hAnsi="Arial" w:cs="Arial"/>
              </w:rPr>
              <w:t xml:space="preserve"> </w:t>
            </w:r>
          </w:p>
        </w:tc>
      </w:tr>
    </w:tbl>
    <w:p w14:paraId="7D97EB67" w14:textId="77777777" w:rsidR="00550EF6" w:rsidRDefault="00550EF6" w:rsidP="007F40D7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ADE7318" w14:textId="77777777" w:rsidR="00D935E4" w:rsidRPr="00B625D8" w:rsidRDefault="00D935E4" w:rsidP="003F1E7D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napToGrid w:val="0"/>
          <w:color w:val="000000"/>
          <w:lang w:eastAsia="de-DE"/>
        </w:rPr>
      </w:pPr>
    </w:p>
    <w:p w14:paraId="324113DC" w14:textId="01D8CB12" w:rsidR="004A6F02" w:rsidRPr="003F1E7D" w:rsidRDefault="00766AE3" w:rsidP="003F1E7D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Pozostałe zdjęcia w jakości do druku:</w:t>
      </w:r>
      <w:r w:rsidR="00604F93">
        <w:rPr>
          <w:rFonts w:ascii="Arial" w:hAnsi="Arial"/>
          <w:snapToGrid w:val="0"/>
          <w:color w:val="000000"/>
        </w:rPr>
        <w:t xml:space="preserve"> </w:t>
      </w:r>
      <w:hyperlink r:id="rId14" w:history="1">
        <w:r w:rsidR="00604F93" w:rsidRPr="006016D2">
          <w:rPr>
            <w:rStyle w:val="Hyperlink"/>
            <w:rFonts w:ascii="Arial" w:hAnsi="Arial"/>
            <w:snapToGrid w:val="0"/>
          </w:rPr>
          <w:t>http://www.poettinger.at/presse</w:t>
        </w:r>
      </w:hyperlink>
    </w:p>
    <w:sectPr w:rsidR="004A6F02" w:rsidRPr="003F1E7D">
      <w:headerReference w:type="default" r:id="rId15"/>
      <w:footerReference w:type="default" r:id="rId1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28AA34" w14:textId="77777777" w:rsidR="00DA1122" w:rsidRDefault="00DA1122" w:rsidP="004311A1">
      <w:pPr>
        <w:spacing w:after="0" w:line="240" w:lineRule="auto"/>
      </w:pPr>
      <w:r>
        <w:separator/>
      </w:r>
    </w:p>
  </w:endnote>
  <w:endnote w:type="continuationSeparator" w:id="0">
    <w:p w14:paraId="520227FD" w14:textId="77777777" w:rsidR="00DA1122" w:rsidRDefault="00DA1122" w:rsidP="00431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NeueLTW1G-L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LTW1G-Roman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744B4" w14:textId="77777777" w:rsidR="004311A1" w:rsidRDefault="004311A1" w:rsidP="004311A1">
    <w:pPr>
      <w:spacing w:after="0" w:line="240" w:lineRule="auto"/>
      <w:rPr>
        <w:rFonts w:ascii="Arial" w:hAnsi="Arial" w:cs="Arial"/>
        <w:b/>
        <w:sz w:val="20"/>
        <w:szCs w:val="20"/>
      </w:rPr>
    </w:pPr>
  </w:p>
  <w:p w14:paraId="5774B78C" w14:textId="4F3C842B" w:rsidR="004311A1" w:rsidRPr="00C264D7" w:rsidRDefault="004311A1" w:rsidP="004311A1">
    <w:pPr>
      <w:spacing w:after="0" w:line="240" w:lineRule="auto"/>
      <w:rPr>
        <w:rFonts w:ascii="Arial" w:hAnsi="Arial" w:cs="Arial"/>
        <w:b/>
        <w:sz w:val="20"/>
        <w:szCs w:val="20"/>
      </w:rPr>
    </w:pPr>
    <w:r>
      <w:rPr>
        <w:rFonts w:ascii="Arial" w:hAnsi="Arial"/>
        <w:b/>
        <w:sz w:val="20"/>
      </w:rPr>
      <w:t>PÖTTINGER Polska Sp. z o.o.</w:t>
    </w:r>
  </w:p>
  <w:p w14:paraId="33B2577E" w14:textId="77777777" w:rsidR="004311A1" w:rsidRPr="00C264D7" w:rsidRDefault="004311A1" w:rsidP="004311A1">
    <w:pPr>
      <w:spacing w:after="0" w:line="240" w:lineRule="auto"/>
      <w:rPr>
        <w:rFonts w:ascii="Arial" w:hAnsi="Arial" w:cs="Arial"/>
        <w:sz w:val="20"/>
        <w:szCs w:val="20"/>
      </w:rPr>
    </w:pPr>
    <w:r>
      <w:rPr>
        <w:rFonts w:ascii="Arial" w:hAnsi="Arial"/>
        <w:sz w:val="20"/>
      </w:rPr>
      <w:t>Edyta Tyrakowska, ul. Skawińska 22, 61-333 Poznań</w:t>
    </w:r>
  </w:p>
  <w:p w14:paraId="21B2AF5C" w14:textId="5BD34A3F" w:rsidR="004311A1" w:rsidRDefault="004311A1" w:rsidP="004311A1">
    <w:pPr>
      <w:pStyle w:val="Fuzeile"/>
    </w:pPr>
    <w:r>
      <w:rPr>
        <w:rFonts w:ascii="Arial" w:hAnsi="Arial"/>
        <w:sz w:val="20"/>
      </w:rPr>
      <w:t xml:space="preserve">Tel.: +48 603 770 957, E-Mail: </w:t>
    </w:r>
    <w:hyperlink r:id="rId1" w:history="1">
      <w:r>
        <w:rPr>
          <w:rFonts w:ascii="Arial" w:hAnsi="Arial"/>
          <w:sz w:val="20"/>
        </w:rPr>
        <w:t>edyta.tyrakowska@poettinger.at</w:t>
      </w:r>
    </w:hyperlink>
    <w:r>
      <w:rPr>
        <w:rFonts w:ascii="Arial" w:hAnsi="Arial"/>
        <w:sz w:val="20"/>
      </w:rPr>
      <w:t xml:space="preserve">, </w:t>
    </w:r>
    <w:hyperlink r:id="rId2" w:history="1">
      <w:r>
        <w:rPr>
          <w:rFonts w:ascii="Arial" w:hAnsi="Arial"/>
          <w:sz w:val="20"/>
        </w:rPr>
        <w:t>www.poettinger.at_pl</w:t>
      </w:r>
    </w:hyperlink>
    <w:r>
      <w:rPr>
        <w:rFonts w:ascii="Arial" w:hAnsi="Arial"/>
        <w:sz w:val="20"/>
      </w:rPr>
      <w:tab/>
    </w:r>
    <w:r>
      <w:rPr>
        <w:rFonts w:ascii="Arial" w:hAnsi="Arial"/>
        <w:sz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9A2179" w14:textId="77777777" w:rsidR="00DA1122" w:rsidRDefault="00DA1122" w:rsidP="004311A1">
      <w:pPr>
        <w:spacing w:after="0" w:line="240" w:lineRule="auto"/>
      </w:pPr>
      <w:r>
        <w:separator/>
      </w:r>
    </w:p>
  </w:footnote>
  <w:footnote w:type="continuationSeparator" w:id="0">
    <w:p w14:paraId="1AA77E0F" w14:textId="77777777" w:rsidR="00DA1122" w:rsidRDefault="00DA1122" w:rsidP="004311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EF1CF" w14:textId="61D2BBC0" w:rsidR="001F6352" w:rsidRDefault="000C4E9F">
    <w:pPr>
      <w:pStyle w:val="Kopfzeile"/>
    </w:pPr>
    <w:r>
      <w:rPr>
        <w:rFonts w:ascii="Arial" w:hAnsi="Arial"/>
        <w:b/>
        <w:noProof/>
        <w:sz w:val="24"/>
      </w:rPr>
      <w:drawing>
        <wp:anchor distT="0" distB="0" distL="114300" distR="114300" simplePos="0" relativeHeight="251659264" behindDoc="0" locked="0" layoutInCell="1" allowOverlap="1" wp14:anchorId="554DBB8B" wp14:editId="14EAC9B5">
          <wp:simplePos x="0" y="0"/>
          <wp:positionH relativeFrom="column">
            <wp:posOffset>3462655</wp:posOffset>
          </wp:positionH>
          <wp:positionV relativeFrom="paragraph">
            <wp:posOffset>111760</wp:posOffset>
          </wp:positionV>
          <wp:extent cx="2186305" cy="228600"/>
          <wp:effectExtent l="0" t="0" r="444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228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18A60311" w14:textId="1122097D" w:rsidR="001F6352" w:rsidRDefault="001F6352">
    <w:pPr>
      <w:pStyle w:val="Kopfzeile"/>
      <w:rPr>
        <w:rFonts w:ascii="Arial" w:hAnsi="Arial" w:cs="Arial"/>
        <w:b/>
        <w:bCs/>
        <w:sz w:val="24"/>
        <w:szCs w:val="24"/>
      </w:rPr>
    </w:pPr>
    <w:r>
      <w:rPr>
        <w:rFonts w:ascii="Arial" w:hAnsi="Arial"/>
        <w:b/>
        <w:sz w:val="24"/>
      </w:rPr>
      <w:t>Informacja prasowa</w:t>
    </w:r>
  </w:p>
  <w:p w14:paraId="10D94F97" w14:textId="77777777" w:rsidR="001F6352" w:rsidRDefault="001F6352">
    <w:pPr>
      <w:pStyle w:val="Kopfzeile"/>
      <w:rPr>
        <w:rFonts w:ascii="Arial" w:hAnsi="Arial" w:cs="Arial"/>
        <w:b/>
        <w:bCs/>
        <w:sz w:val="24"/>
        <w:szCs w:val="24"/>
      </w:rPr>
    </w:pPr>
  </w:p>
  <w:p w14:paraId="3408B22E" w14:textId="77777777" w:rsidR="001F6352" w:rsidRPr="001F6352" w:rsidRDefault="001F6352">
    <w:pPr>
      <w:pStyle w:val="Kopfzeile"/>
      <w:rPr>
        <w:rFonts w:ascii="Arial" w:hAnsi="Arial" w:cs="Arial"/>
        <w:b/>
        <w:bCs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F208C"/>
    <w:multiLevelType w:val="hybridMultilevel"/>
    <w:tmpl w:val="A05A41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357543"/>
    <w:multiLevelType w:val="hybridMultilevel"/>
    <w:tmpl w:val="D9448AC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D57F13"/>
    <w:multiLevelType w:val="hybridMultilevel"/>
    <w:tmpl w:val="8B7487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8769851">
    <w:abstractNumId w:val="1"/>
  </w:num>
  <w:num w:numId="2" w16cid:durableId="1050886229">
    <w:abstractNumId w:val="0"/>
  </w:num>
  <w:num w:numId="3" w16cid:durableId="18097365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361"/>
    <w:rsid w:val="00011F40"/>
    <w:rsid w:val="0004678F"/>
    <w:rsid w:val="00051C90"/>
    <w:rsid w:val="000635D3"/>
    <w:rsid w:val="000743B9"/>
    <w:rsid w:val="00093872"/>
    <w:rsid w:val="000938A3"/>
    <w:rsid w:val="000A3D4D"/>
    <w:rsid w:val="000C4E9F"/>
    <w:rsid w:val="000C760A"/>
    <w:rsid w:val="000D2540"/>
    <w:rsid w:val="000E5D13"/>
    <w:rsid w:val="00122927"/>
    <w:rsid w:val="00135112"/>
    <w:rsid w:val="0015146E"/>
    <w:rsid w:val="00195E70"/>
    <w:rsid w:val="001D60BA"/>
    <w:rsid w:val="001E51C9"/>
    <w:rsid w:val="001E56D5"/>
    <w:rsid w:val="001F02A9"/>
    <w:rsid w:val="001F6352"/>
    <w:rsid w:val="002026E8"/>
    <w:rsid w:val="00234361"/>
    <w:rsid w:val="00244777"/>
    <w:rsid w:val="00275A1F"/>
    <w:rsid w:val="002A6684"/>
    <w:rsid w:val="002B7A74"/>
    <w:rsid w:val="002C2443"/>
    <w:rsid w:val="002D6C7B"/>
    <w:rsid w:val="00322C5F"/>
    <w:rsid w:val="003D2773"/>
    <w:rsid w:val="003E6583"/>
    <w:rsid w:val="003F1E7D"/>
    <w:rsid w:val="004026CA"/>
    <w:rsid w:val="00410B87"/>
    <w:rsid w:val="004311A1"/>
    <w:rsid w:val="00432C24"/>
    <w:rsid w:val="0045609B"/>
    <w:rsid w:val="00460DC6"/>
    <w:rsid w:val="00470447"/>
    <w:rsid w:val="004866AE"/>
    <w:rsid w:val="004927FC"/>
    <w:rsid w:val="004933D0"/>
    <w:rsid w:val="00496ED0"/>
    <w:rsid w:val="004A6F02"/>
    <w:rsid w:val="004D73A8"/>
    <w:rsid w:val="004D75DB"/>
    <w:rsid w:val="005202DD"/>
    <w:rsid w:val="0052173B"/>
    <w:rsid w:val="0052408A"/>
    <w:rsid w:val="00533AB7"/>
    <w:rsid w:val="00542BD9"/>
    <w:rsid w:val="005466E4"/>
    <w:rsid w:val="00550EF6"/>
    <w:rsid w:val="00553636"/>
    <w:rsid w:val="00554CCF"/>
    <w:rsid w:val="00564A51"/>
    <w:rsid w:val="005653E9"/>
    <w:rsid w:val="005C0DD9"/>
    <w:rsid w:val="005D2ACE"/>
    <w:rsid w:val="00604F93"/>
    <w:rsid w:val="0060543B"/>
    <w:rsid w:val="00622EEF"/>
    <w:rsid w:val="006264AB"/>
    <w:rsid w:val="006408B1"/>
    <w:rsid w:val="00683216"/>
    <w:rsid w:val="006D2CD1"/>
    <w:rsid w:val="00707232"/>
    <w:rsid w:val="007269F6"/>
    <w:rsid w:val="00735CFD"/>
    <w:rsid w:val="00766AE3"/>
    <w:rsid w:val="00771288"/>
    <w:rsid w:val="00780B92"/>
    <w:rsid w:val="007A4977"/>
    <w:rsid w:val="007B7B14"/>
    <w:rsid w:val="007D4B94"/>
    <w:rsid w:val="007E04C8"/>
    <w:rsid w:val="007F1976"/>
    <w:rsid w:val="007F3F52"/>
    <w:rsid w:val="007F40D7"/>
    <w:rsid w:val="008165CB"/>
    <w:rsid w:val="00832216"/>
    <w:rsid w:val="00847269"/>
    <w:rsid w:val="00850795"/>
    <w:rsid w:val="008C7810"/>
    <w:rsid w:val="008D31CB"/>
    <w:rsid w:val="0090717E"/>
    <w:rsid w:val="00930673"/>
    <w:rsid w:val="00984FE0"/>
    <w:rsid w:val="009875CF"/>
    <w:rsid w:val="009A1CB6"/>
    <w:rsid w:val="009C2C02"/>
    <w:rsid w:val="00A0655A"/>
    <w:rsid w:val="00A46B16"/>
    <w:rsid w:val="00A55D7E"/>
    <w:rsid w:val="00A90BE0"/>
    <w:rsid w:val="00AA51CF"/>
    <w:rsid w:val="00AB5426"/>
    <w:rsid w:val="00AC60E9"/>
    <w:rsid w:val="00AC6472"/>
    <w:rsid w:val="00AD1CC3"/>
    <w:rsid w:val="00AD79CA"/>
    <w:rsid w:val="00B0119B"/>
    <w:rsid w:val="00B1589C"/>
    <w:rsid w:val="00B51809"/>
    <w:rsid w:val="00B625D8"/>
    <w:rsid w:val="00B73557"/>
    <w:rsid w:val="00B869C1"/>
    <w:rsid w:val="00B877BE"/>
    <w:rsid w:val="00B94822"/>
    <w:rsid w:val="00BA58AA"/>
    <w:rsid w:val="00BB14A2"/>
    <w:rsid w:val="00BE71B9"/>
    <w:rsid w:val="00C046A4"/>
    <w:rsid w:val="00C075A9"/>
    <w:rsid w:val="00C21A4F"/>
    <w:rsid w:val="00C6785C"/>
    <w:rsid w:val="00C77D01"/>
    <w:rsid w:val="00C82AC1"/>
    <w:rsid w:val="00C9208A"/>
    <w:rsid w:val="00C92E82"/>
    <w:rsid w:val="00CA7D59"/>
    <w:rsid w:val="00CC7BA7"/>
    <w:rsid w:val="00CD4E4E"/>
    <w:rsid w:val="00CD5275"/>
    <w:rsid w:val="00CF3337"/>
    <w:rsid w:val="00CF3A8F"/>
    <w:rsid w:val="00D049D2"/>
    <w:rsid w:val="00D14975"/>
    <w:rsid w:val="00D16460"/>
    <w:rsid w:val="00D32104"/>
    <w:rsid w:val="00D35E4A"/>
    <w:rsid w:val="00D37433"/>
    <w:rsid w:val="00D56E7B"/>
    <w:rsid w:val="00D61F36"/>
    <w:rsid w:val="00D85F90"/>
    <w:rsid w:val="00D85FEA"/>
    <w:rsid w:val="00D9117D"/>
    <w:rsid w:val="00D935E4"/>
    <w:rsid w:val="00DA1122"/>
    <w:rsid w:val="00DB4045"/>
    <w:rsid w:val="00DC196E"/>
    <w:rsid w:val="00DD7DFB"/>
    <w:rsid w:val="00DE1DD2"/>
    <w:rsid w:val="00E02E93"/>
    <w:rsid w:val="00E035C2"/>
    <w:rsid w:val="00E36FDD"/>
    <w:rsid w:val="00E4555B"/>
    <w:rsid w:val="00E50F2F"/>
    <w:rsid w:val="00E52C0B"/>
    <w:rsid w:val="00E5702A"/>
    <w:rsid w:val="00E5746A"/>
    <w:rsid w:val="00E80AB5"/>
    <w:rsid w:val="00E91D08"/>
    <w:rsid w:val="00E93BB3"/>
    <w:rsid w:val="00EA6D24"/>
    <w:rsid w:val="00EB4EC2"/>
    <w:rsid w:val="00EF7029"/>
    <w:rsid w:val="00F0254F"/>
    <w:rsid w:val="00F07839"/>
    <w:rsid w:val="00F132D0"/>
    <w:rsid w:val="00F15739"/>
    <w:rsid w:val="00F1687B"/>
    <w:rsid w:val="00F25F5A"/>
    <w:rsid w:val="00F26368"/>
    <w:rsid w:val="00F32E36"/>
    <w:rsid w:val="00F37FD7"/>
    <w:rsid w:val="00FA039F"/>
    <w:rsid w:val="00FA6FCA"/>
    <w:rsid w:val="00FB2306"/>
    <w:rsid w:val="00FC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6FD398"/>
  <w15:chartTrackingRefBased/>
  <w15:docId w15:val="{545817F3-4DFB-45DB-87D8-4356E8725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link w:val="berschrift1Zchn"/>
    <w:uiPriority w:val="9"/>
    <w:qFormat/>
    <w:rsid w:val="00550E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5D2ACE"/>
    <w:pPr>
      <w:ind w:left="720"/>
      <w:contextualSpacing/>
    </w:pPr>
  </w:style>
  <w:style w:type="paragraph" w:customStyle="1" w:styleId="CP">
    <w:name w:val="CP"/>
    <w:basedOn w:val="Standard"/>
    <w:next w:val="Standard"/>
    <w:uiPriority w:val="99"/>
    <w:rsid w:val="0052173B"/>
    <w:pPr>
      <w:tabs>
        <w:tab w:val="left" w:pos="170"/>
        <w:tab w:val="right" w:pos="3969"/>
      </w:tabs>
      <w:suppressAutoHyphens/>
      <w:autoSpaceDE w:val="0"/>
      <w:autoSpaceDN w:val="0"/>
      <w:adjustRightInd w:val="0"/>
      <w:spacing w:after="0" w:line="230" w:lineRule="atLeast"/>
      <w:textAlignment w:val="center"/>
    </w:pPr>
    <w:rPr>
      <w:rFonts w:ascii="HelveticaNeueLTW1G-Lt" w:hAnsi="HelveticaNeueLTW1G-Lt" w:cs="HelveticaNeueLTW1G-Lt"/>
      <w:color w:val="000000"/>
      <w:spacing w:val="2"/>
      <w:sz w:val="18"/>
      <w:szCs w:val="18"/>
    </w:rPr>
  </w:style>
  <w:style w:type="paragraph" w:customStyle="1" w:styleId="BP">
    <w:name w:val="BP"/>
    <w:basedOn w:val="CP"/>
    <w:uiPriority w:val="99"/>
    <w:rsid w:val="0052173B"/>
    <w:pPr>
      <w:tabs>
        <w:tab w:val="clear" w:pos="170"/>
        <w:tab w:val="left" w:pos="283"/>
      </w:tabs>
      <w:ind w:left="283" w:hanging="283"/>
    </w:pPr>
  </w:style>
  <w:style w:type="paragraph" w:customStyle="1" w:styleId="H3">
    <w:name w:val="H3"/>
    <w:basedOn w:val="Standard"/>
    <w:uiPriority w:val="99"/>
    <w:rsid w:val="00780B92"/>
    <w:pPr>
      <w:autoSpaceDE w:val="0"/>
      <w:autoSpaceDN w:val="0"/>
      <w:adjustRightInd w:val="0"/>
      <w:spacing w:before="227" w:after="113" w:line="288" w:lineRule="auto"/>
      <w:textAlignment w:val="center"/>
    </w:pPr>
    <w:rPr>
      <w:rFonts w:ascii="HelveticaNeueLTW1G-Roman" w:hAnsi="HelveticaNeueLTW1G-Roman" w:cs="HelveticaNeueLTW1G-Roman"/>
      <w:color w:val="000000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4311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311A1"/>
  </w:style>
  <w:style w:type="paragraph" w:styleId="Fuzeile">
    <w:name w:val="footer"/>
    <w:basedOn w:val="Standard"/>
    <w:link w:val="FuzeileZchn"/>
    <w:uiPriority w:val="99"/>
    <w:unhideWhenUsed/>
    <w:rsid w:val="004311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311A1"/>
  </w:style>
  <w:style w:type="paragraph" w:styleId="Kommentartext">
    <w:name w:val="annotation text"/>
    <w:basedOn w:val="Standard"/>
    <w:link w:val="KommentartextZchn"/>
    <w:uiPriority w:val="99"/>
    <w:unhideWhenUsed/>
    <w:rsid w:val="004311A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4311A1"/>
    <w:rPr>
      <w:sz w:val="20"/>
      <w:szCs w:val="20"/>
    </w:rPr>
  </w:style>
  <w:style w:type="table" w:styleId="Tabellenraster">
    <w:name w:val="Table Grid"/>
    <w:basedOn w:val="NormaleTabelle"/>
    <w:rsid w:val="007F40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rsid w:val="00766AE3"/>
    <w:rPr>
      <w:color w:val="0000FF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D31CB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0254F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0254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0254F"/>
    <w:rPr>
      <w:b/>
      <w:bCs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FA039F"/>
    <w:rPr>
      <w:color w:val="954F72" w:themeColor="followedHyperlink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550EF6"/>
    <w:rPr>
      <w:rFonts w:ascii="Times New Roman" w:eastAsia="Times New Roman" w:hAnsi="Times New Roman" w:cs="Times New Roman"/>
      <w:b/>
      <w:bCs/>
      <w:kern w:val="36"/>
      <w:sz w:val="48"/>
      <w:szCs w:val="4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poettinger.at/de_at/newsroom/pressebild/135622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poettinger.at/de_at/newsroom/pressebild/135624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poettinger.at/presse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oettinger.at/pl" TargetMode="External"/><Relationship Id="rId1" Type="http://schemas.openxmlformats.org/officeDocument/2006/relationships/hyperlink" Target="mailto:edyta.tyrakowska@poettinger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D5F2B2EC118A4F8B1D067F8E08F027" ma:contentTypeVersion="18" ma:contentTypeDescription="Ein neues Dokument erstellen." ma:contentTypeScope="" ma:versionID="5321d6d648702364eccadae871ad63f5">
  <xsd:schema xmlns:xsd="http://www.w3.org/2001/XMLSchema" xmlns:xs="http://www.w3.org/2001/XMLSchema" xmlns:p="http://schemas.microsoft.com/office/2006/metadata/properties" xmlns:ns2="83bfa116-893d-4383-ad7d-9097b93e2fa1" xmlns:ns3="830e3847-a643-440f-8e0d-5df0f21c9e31" targetNamespace="http://schemas.microsoft.com/office/2006/metadata/properties" ma:root="true" ma:fieldsID="23a1eb11b7b94e59b42d28c5f092f0f3" ns2:_="" ns3:_="">
    <xsd:import namespace="83bfa116-893d-4383-ad7d-9097b93e2fa1"/>
    <xsd:import namespace="830e3847-a643-440f-8e0d-5df0f21c9e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bfa116-893d-4383-ad7d-9097b93e2f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ierungen" ma:readOnly="false" ma:fieldId="{5cf76f15-5ced-4ddc-b409-7134ff3c332f}" ma:taxonomyMulti="true" ma:sspId="8555d7f4-1072-45cb-a79f-befbd501b4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0e3847-a643-440f-8e0d-5df0f21c9e3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c30e3d7-a11f-4a12-8896-62aa2e623d55}" ma:internalName="TaxCatchAll" ma:showField="CatchAllData" ma:web="830e3847-a643-440f-8e0d-5df0f21c9e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0e3847-a643-440f-8e0d-5df0f21c9e31" xsi:nil="true"/>
    <lcf76f155ced4ddcb4097134ff3c332f xmlns="83bfa116-893d-4383-ad7d-9097b93e2fa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9CB5BAB-1EC7-455E-9672-550F4CB562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bfa116-893d-4383-ad7d-9097b93e2fa1"/>
    <ds:schemaRef ds:uri="830e3847-a643-440f-8e0d-5df0f21c9e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280C21-E010-4D82-91C0-BE7068209749}">
  <ds:schemaRefs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830e3847-a643-440f-8e0d-5df0f21c9e31"/>
    <ds:schemaRef ds:uri="http://schemas.openxmlformats.org/package/2006/metadata/core-properties"/>
    <ds:schemaRef ds:uri="http://purl.org/dc/terms/"/>
    <ds:schemaRef ds:uri="83bfa116-893d-4383-ad7d-9097b93e2fa1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67F45B3-58CA-41E1-8B02-F70B656052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388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NOVACAT F 3100 OPTICURVE</dc:title>
  <dc:subject/>
  <dc:creator>Inge Steibl</dc:creator>
  <cp:keywords/>
  <dc:description/>
  <cp:lastModifiedBy>Steibl Inge</cp:lastModifiedBy>
  <cp:revision>7</cp:revision>
  <cp:lastPrinted>2024-06-10T14:13:00Z</cp:lastPrinted>
  <dcterms:created xsi:type="dcterms:W3CDTF">2024-05-27T10:57:00Z</dcterms:created>
  <dcterms:modified xsi:type="dcterms:W3CDTF">2024-06-10T14:13:00Z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0x0101004DD5F2B2EC118A4F8B1D067F8E08F027</vt:lpwstr>
  </property>
  <property fmtid="{D5CDD505-2E9C-101B-9397-08002B2CF9AE}" pid="3" name="MediaServiceImageTags">
    <vt:lpwstr/>
  </property>
</Properties>
</file>