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A3B70" w14:textId="050C3898" w:rsidR="002F3A42" w:rsidRPr="002F3A42" w:rsidRDefault="002F3A42" w:rsidP="00305161">
      <w:pPr>
        <w:spacing w:line="360" w:lineRule="auto"/>
        <w:rPr>
          <w:color w:val="808080" w:themeColor="background1" w:themeShade="80"/>
          <w:sz w:val="32"/>
          <w:szCs w:val="32"/>
          <w:rFonts w:cs="Arial"/>
        </w:rPr>
      </w:pPr>
      <w:r>
        <w:rPr>
          <w:color w:val="808080" w:themeColor="background1" w:themeShade="80"/>
          <w:sz w:val="32"/>
          <w:szCs w:val="32"/>
        </w:rPr>
        <w:t xml:space="preserve">Jaarverslag – korte versie</w:t>
      </w:r>
    </w:p>
    <w:p w14:paraId="228239A9" w14:textId="17E1E0CD" w:rsidR="00F90C4A" w:rsidRPr="0036554E" w:rsidRDefault="00B555E0" w:rsidP="00CA2767">
      <w:pPr>
        <w:spacing w:line="360" w:lineRule="auto"/>
        <w:rPr>
          <w:sz w:val="32"/>
          <w:szCs w:val="32"/>
          <w:rFonts w:cs="Arial"/>
        </w:rPr>
      </w:pPr>
      <w:r>
        <w:rPr>
          <w:sz w:val="32"/>
          <w:szCs w:val="32"/>
        </w:rPr>
        <w:t xml:space="preserve">Pöttinger groeit verder – omzet stijgt opnieuw</w:t>
      </w:r>
      <w:r>
        <w:rPr>
          <w:sz w:val="32"/>
          <w:szCs w:val="32"/>
        </w:rPr>
        <w:t xml:space="preserve"> </w:t>
      </w:r>
    </w:p>
    <w:p w14:paraId="687E60A4" w14:textId="6D4858D1" w:rsidR="00133BFE" w:rsidRDefault="00133BFE" w:rsidP="00166CD0">
      <w:pPr>
        <w:spacing w:line="360" w:lineRule="auto"/>
        <w:jc w:val="both"/>
        <w:rPr>
          <w:sz w:val="24"/>
          <w:rFonts w:cs="Arial"/>
        </w:rPr>
      </w:pPr>
      <w:r>
        <w:rPr>
          <w:sz w:val="24"/>
        </w:rPr>
        <w:t xml:space="preserve">Het Oostenrijkse familiebedrijf </w:t>
      </w:r>
      <w:bookmarkStart w:id="1" w:name="_Hlk18408912"/>
      <w:r>
        <w:rPr>
          <w:sz w:val="24"/>
        </w:rPr>
        <w:t xml:space="preserve">Pöttinger behaalde in het boekjaar 2018/2019 een nieuwe recordomzet van 382 miljoen euro.</w:t>
      </w:r>
      <w:bookmarkEnd w:id="1"/>
      <w:bookmarkStart w:id="1" w:name="_Hlk18408912"/>
      <w:r>
        <w:rPr>
          <w:sz w:val="24"/>
        </w:rPr>
        <w:t xml:space="preserve"> </w:t>
      </w:r>
      <w:r>
        <w:rPr>
          <w:sz w:val="24"/>
        </w:rPr>
        <w:t xml:space="preserve">Dit komt overeen met een toename van 8 procent.</w:t>
      </w:r>
      <w:r>
        <w:rPr>
          <w:sz w:val="24"/>
        </w:rPr>
        <w:t xml:space="preserve"> </w:t>
      </w:r>
      <w:r>
        <w:rPr>
          <w:sz w:val="24"/>
        </w:rPr>
        <w:t xml:space="preserve">Debet aan dit succes zijn – naast onze 1.892 betrokken medewerkers overal ter wereld – het innovatieve productassortiment, de internationale verkooporiëntatie en de uitgebreide investeringen in productielocaties en het logistieke centrum voor reserveonderdelen.</w:t>
      </w:r>
      <w:r>
        <w:rPr>
          <w:sz w:val="24"/>
        </w:rPr>
        <w:t xml:space="preserve"> </w:t>
      </w:r>
      <w:bookmarkEnd w:id="1"/>
    </w:p>
    <w:p w14:paraId="6335A927" w14:textId="77777777" w:rsidR="00F40301" w:rsidRPr="00ED3836" w:rsidRDefault="00F40301" w:rsidP="003B5F5B">
      <w:pPr>
        <w:spacing w:line="360" w:lineRule="auto"/>
        <w:jc w:val="both"/>
        <w:rPr>
          <w:rFonts w:cs="Arial"/>
          <w:iCs/>
          <w:sz w:val="24"/>
          <w:szCs w:val="22"/>
          <w:lang w:val="de-DE"/>
        </w:rPr>
      </w:pPr>
    </w:p>
    <w:p w14:paraId="74F5722A" w14:textId="6FEC6A9A" w:rsidR="00F3189E" w:rsidRDefault="005F52BE" w:rsidP="00F3189E">
      <w:pPr>
        <w:spacing w:line="360" w:lineRule="auto"/>
        <w:jc w:val="both"/>
        <w:rPr>
          <w:iCs/>
          <w:sz w:val="28"/>
          <w:szCs w:val="28"/>
          <w:rFonts w:cs="Arial"/>
        </w:rPr>
      </w:pPr>
      <w:r>
        <w:rPr>
          <w:iCs/>
          <w:sz w:val="28"/>
          <w:szCs w:val="28"/>
        </w:rPr>
        <w:t xml:space="preserve">Aanzienlijke groei in alle segmenten</w:t>
      </w:r>
    </w:p>
    <w:p w14:paraId="2F34481D" w14:textId="104E070B" w:rsidR="00E558B4" w:rsidRDefault="005F52BE" w:rsidP="00F3189E">
      <w:pPr>
        <w:spacing w:line="360" w:lineRule="auto"/>
        <w:jc w:val="both"/>
        <w:rPr>
          <w:iCs/>
          <w:sz w:val="24"/>
          <w:szCs w:val="22"/>
          <w:rFonts w:cs="Arial"/>
        </w:rPr>
      </w:pPr>
      <w:bookmarkStart w:id="2" w:name="_Hlk18408985"/>
      <w:r>
        <w:rPr>
          <w:iCs/>
          <w:sz w:val="24"/>
          <w:szCs w:val="22"/>
          <w:u w:val="single"/>
        </w:rPr>
        <w:t xml:space="preserve">Graslandmachines</w:t>
      </w:r>
      <w:r>
        <w:rPr>
          <w:iCs/>
          <w:sz w:val="24"/>
          <w:szCs w:val="22"/>
        </w:rPr>
        <w:t xml:space="preserve"> waren goed voor 69 procent van de totale machineverkoop, machines voor </w:t>
      </w:r>
      <w:r>
        <w:rPr>
          <w:iCs/>
          <w:sz w:val="24"/>
          <w:szCs w:val="22"/>
          <w:u w:val="single"/>
        </w:rPr>
        <w:t xml:space="preserve">bodembewerking en zaaitechniek</w:t>
      </w:r>
      <w:r>
        <w:rPr>
          <w:iCs/>
          <w:sz w:val="24"/>
          <w:szCs w:val="22"/>
        </w:rPr>
        <w:t xml:space="preserve"> waren goed voor 31 procent.</w:t>
      </w:r>
      <w:r>
        <w:rPr>
          <w:iCs/>
          <w:sz w:val="24"/>
          <w:szCs w:val="22"/>
        </w:rPr>
        <w:t xml:space="preserve"> </w:t>
      </w:r>
      <w:r>
        <w:rPr>
          <w:iCs/>
          <w:sz w:val="24"/>
          <w:szCs w:val="22"/>
        </w:rPr>
        <w:t xml:space="preserve">Ten opzicht van vorig jaar vertoonde de sector grasland een groei van 9 procent.</w:t>
      </w:r>
      <w:r>
        <w:rPr>
          <w:iCs/>
          <w:sz w:val="24"/>
          <w:szCs w:val="22"/>
        </w:rPr>
        <w:t xml:space="preserve"> </w:t>
      </w:r>
      <w:r>
        <w:rPr>
          <w:iCs/>
          <w:sz w:val="24"/>
          <w:szCs w:val="22"/>
        </w:rPr>
        <w:t xml:space="preserve">De sector akkerbouw en zaaitechniek groeide met 5 procent op jaarbasis.</w:t>
      </w:r>
      <w:r>
        <w:rPr>
          <w:iCs/>
          <w:sz w:val="24"/>
          <w:szCs w:val="22"/>
        </w:rPr>
        <w:t xml:space="preserve"> </w:t>
      </w:r>
      <w:bookmarkEnd w:id="2"/>
      <w:r>
        <w:rPr>
          <w:iCs/>
          <w:sz w:val="24"/>
          <w:szCs w:val="22"/>
        </w:rPr>
        <w:t xml:space="preserve">Het in 2018 geopende logistieke centrum kon meteen in zijn volledige capaciteit worden benut.</w:t>
      </w:r>
      <w:r>
        <w:rPr>
          <w:iCs/>
          <w:sz w:val="24"/>
          <w:szCs w:val="22"/>
        </w:rPr>
        <w:t xml:space="preserve"> </w:t>
      </w:r>
      <w:r>
        <w:rPr>
          <w:iCs/>
          <w:sz w:val="24"/>
          <w:szCs w:val="22"/>
        </w:rPr>
        <w:t xml:space="preserve">De groei in de verkoop van reserveonderdelen is vergelijkbaar met die van machines.</w:t>
      </w:r>
      <w:r>
        <w:rPr>
          <w:iCs/>
          <w:sz w:val="24"/>
          <w:szCs w:val="22"/>
        </w:rPr>
        <w:t xml:space="preserve"> </w:t>
      </w:r>
    </w:p>
    <w:p w14:paraId="710408E6" w14:textId="77777777" w:rsidR="004F7D2F" w:rsidRPr="00132418" w:rsidRDefault="004F7D2F">
      <w:pPr>
        <w:rPr>
          <w:rFonts w:cs="Arial"/>
          <w:iCs/>
          <w:sz w:val="24"/>
          <w:szCs w:val="22"/>
          <w:lang w:val="de-DE"/>
        </w:rPr>
      </w:pPr>
    </w:p>
    <w:p w14:paraId="42D64F59" w14:textId="32298215" w:rsidR="00105362" w:rsidRPr="00F576B6" w:rsidRDefault="002F3A42" w:rsidP="005F340C">
      <w:pPr>
        <w:spacing w:line="360" w:lineRule="auto"/>
        <w:jc w:val="both"/>
        <w:rPr>
          <w:iCs/>
          <w:sz w:val="28"/>
          <w:szCs w:val="28"/>
          <w:rFonts w:cs="Arial"/>
        </w:rPr>
      </w:pPr>
      <w:r>
        <w:rPr>
          <w:iCs/>
          <w:sz w:val="28"/>
          <w:szCs w:val="28"/>
        </w:rPr>
        <w:t xml:space="preserve">Pöttinger: wereldwijd meer dynamiek</w:t>
      </w:r>
    </w:p>
    <w:p w14:paraId="6EDD6CE8" w14:textId="7FBA9CA9" w:rsidR="00DA5C72" w:rsidRPr="00F576B6" w:rsidRDefault="00940283" w:rsidP="005F340C">
      <w:pPr>
        <w:spacing w:line="360" w:lineRule="auto"/>
        <w:jc w:val="both"/>
        <w:rPr>
          <w:iCs/>
          <w:sz w:val="24"/>
          <w:szCs w:val="22"/>
          <w:rFonts w:cs="Arial"/>
        </w:rPr>
      </w:pPr>
      <w:r>
        <w:rPr>
          <w:iCs/>
          <w:sz w:val="24"/>
          <w:szCs w:val="22"/>
        </w:rPr>
        <w:t xml:space="preserve">Ondanks de wisselvallige omstandigheden en de duidelijk afgenomen vraag kon Pöttinger in veel belangrijke markten opnieuw omzetgroei realiseren.</w:t>
      </w:r>
      <w:r>
        <w:rPr>
          <w:iCs/>
          <w:sz w:val="24"/>
          <w:szCs w:val="22"/>
        </w:rPr>
        <w:t xml:space="preserve"> </w:t>
      </w:r>
      <w:bookmarkStart w:id="3" w:name="_Hlk18409054"/>
      <w:r>
        <w:rPr>
          <w:iCs/>
          <w:sz w:val="24"/>
          <w:szCs w:val="22"/>
        </w:rPr>
        <w:t xml:space="preserve">Het exportaandeel van 90 procent is een duidelijke indicator voor de concurrentiekracht </w:t>
      </w:r>
      <w:bookmarkEnd w:id="3"/>
      <w:r>
        <w:rPr>
          <w:iCs/>
          <w:sz w:val="24"/>
          <w:szCs w:val="22"/>
        </w:rPr>
        <w:t xml:space="preserve">van de Oostenrijkse fabrikant van landbouwmachines.</w:t>
      </w:r>
    </w:p>
    <w:p w14:paraId="7A596023" w14:textId="77777777" w:rsidR="00B50658" w:rsidRPr="00C71CD6" w:rsidRDefault="00B50658" w:rsidP="00B50658">
      <w:pPr>
        <w:spacing w:line="360" w:lineRule="auto"/>
        <w:jc w:val="both"/>
        <w:rPr>
          <w:rFonts w:cs="Arial"/>
          <w:iCs/>
          <w:sz w:val="24"/>
          <w:szCs w:val="22"/>
          <w:u w:val="single"/>
          <w:lang w:val="de-DE"/>
        </w:rPr>
      </w:pPr>
    </w:p>
    <w:p w14:paraId="60836AA2" w14:textId="3CE39D35" w:rsidR="00467385" w:rsidRPr="004F271D" w:rsidRDefault="00467385" w:rsidP="00BF1549">
      <w:pPr>
        <w:spacing w:line="360" w:lineRule="auto"/>
        <w:jc w:val="both"/>
        <w:rPr>
          <w:iCs/>
          <w:sz w:val="24"/>
          <w:szCs w:val="22"/>
          <w:rFonts w:cs="Arial"/>
        </w:rPr>
      </w:pPr>
      <w:r>
        <w:rPr>
          <w:iCs/>
          <w:sz w:val="24"/>
          <w:szCs w:val="22"/>
        </w:rPr>
        <w:t xml:space="preserve">Meer dan 60</w:t>
      </w:r>
      <w:r>
        <w:rPr>
          <w:iCs/>
          <w:sz w:val="24"/>
          <w:szCs w:val="22"/>
          <w:color w:val="FF0000"/>
        </w:rPr>
        <w:t xml:space="preserve"> </w:t>
      </w:r>
      <w:r>
        <w:rPr>
          <w:iCs/>
          <w:sz w:val="24"/>
          <w:szCs w:val="22"/>
        </w:rPr>
        <w:t xml:space="preserve">procent van de totale omzet wordt gegenereerd in de landen Duitsland, Frankrijk, Oostenrijk, Polen, Tsjechië en Zwitserland.</w:t>
      </w:r>
      <w:r>
        <w:rPr>
          <w:iCs/>
          <w:sz w:val="24"/>
          <w:szCs w:val="22"/>
        </w:rPr>
        <w:t xml:space="preserve"> </w:t>
      </w:r>
      <w:bookmarkStart w:id="4" w:name="_Hlk18409100"/>
      <w:r>
        <w:rPr>
          <w:iCs/>
          <w:sz w:val="24"/>
          <w:szCs w:val="22"/>
        </w:rPr>
        <w:t xml:space="preserve">Net als tevoren zijn Duitsland en Frankrijk met</w:t>
      </w:r>
      <w:r>
        <w:rPr>
          <w:iCs/>
          <w:sz w:val="24"/>
          <w:szCs w:val="22"/>
          <w:color w:val="FF0000"/>
        </w:rPr>
        <w:t xml:space="preserve"> </w:t>
      </w:r>
      <w:r>
        <w:rPr>
          <w:iCs/>
          <w:sz w:val="24"/>
          <w:szCs w:val="22"/>
        </w:rPr>
        <w:t xml:space="preserve">20 resp. 16 procent van de omzet de grootste en belangrijkste afzetmarkten.</w:t>
      </w:r>
      <w:r>
        <w:rPr>
          <w:iCs/>
          <w:sz w:val="24"/>
          <w:szCs w:val="22"/>
        </w:rPr>
        <w:t xml:space="preserve"> </w:t>
      </w:r>
      <w:r>
        <w:rPr>
          <w:iCs/>
          <w:sz w:val="24"/>
          <w:szCs w:val="22"/>
        </w:rPr>
        <w:t xml:space="preserve">Tot onze vreugde hebben beide markten de afgelopen periode een aanzienlijke groei gekend.</w:t>
      </w:r>
      <w:bookmarkEnd w:id="4"/>
      <w:r>
        <w:rPr>
          <w:iCs/>
          <w:sz w:val="24"/>
          <w:szCs w:val="22"/>
        </w:rPr>
        <w:t xml:space="preserve"> </w:t>
      </w:r>
      <w:r>
        <w:rPr>
          <w:iCs/>
          <w:sz w:val="24"/>
          <w:szCs w:val="22"/>
        </w:rPr>
        <w:t xml:space="preserve">In het jubileumjaar '20 jaar PÖTTINGER France' werd in Frankrijk ongeveer 20 procent meer omgezet dan in het jaar daarvoor.</w:t>
      </w:r>
      <w:r>
        <w:rPr>
          <w:iCs/>
          <w:sz w:val="24"/>
          <w:szCs w:val="22"/>
        </w:rPr>
        <w:t xml:space="preserve"> </w:t>
      </w:r>
    </w:p>
    <w:p w14:paraId="1488B6F8" w14:textId="1B7CBD79" w:rsidR="000E636D" w:rsidRPr="00C71CD6" w:rsidRDefault="00F576B6" w:rsidP="00BF1549">
      <w:pPr>
        <w:spacing w:line="360" w:lineRule="auto"/>
        <w:jc w:val="both"/>
        <w:rPr>
          <w:iCs/>
          <w:sz w:val="24"/>
          <w:szCs w:val="22"/>
          <w:rFonts w:cs="Arial"/>
        </w:rPr>
      </w:pPr>
      <w:bookmarkStart w:id="5" w:name="_Hlk18409146"/>
      <w:r>
        <w:rPr>
          <w:iCs/>
          <w:sz w:val="24"/>
          <w:szCs w:val="22"/>
        </w:rPr>
        <w:t xml:space="preserve">Met een omzetaandeel van 10 procent is de Oostenrijkse thuismarkt één van de sterkste afzonderlijke markten naast Duitsland en Frankrijk.</w:t>
      </w:r>
      <w:r>
        <w:rPr>
          <w:iCs/>
          <w:sz w:val="24"/>
          <w:szCs w:val="22"/>
        </w:rPr>
        <w:t xml:space="preserve"> </w:t>
      </w:r>
      <w:r>
        <w:rPr>
          <w:iCs/>
          <w:sz w:val="24"/>
          <w:szCs w:val="22"/>
        </w:rPr>
        <w:t xml:space="preserve">Ten opzichte van vorig jaar groeide de omzet ook in de thuismarkt weer aanzienlijk.</w:t>
      </w:r>
      <w:r>
        <w:rPr>
          <w:iCs/>
          <w:sz w:val="24"/>
          <w:szCs w:val="22"/>
        </w:rPr>
        <w:t xml:space="preserve"> </w:t>
      </w:r>
    </w:p>
    <w:p w14:paraId="5BE00A41" w14:textId="7B634649" w:rsidR="00B50658" w:rsidRPr="00A52A93" w:rsidRDefault="003E3356" w:rsidP="00B50658">
      <w:pPr>
        <w:spacing w:line="360" w:lineRule="auto"/>
        <w:jc w:val="both"/>
        <w:rPr>
          <w:iCs/>
          <w:sz w:val="24"/>
          <w:szCs w:val="22"/>
          <w:rFonts w:cs="Arial"/>
        </w:rPr>
      </w:pPr>
      <w:r>
        <w:rPr>
          <w:iCs/>
          <w:sz w:val="24"/>
          <w:szCs w:val="22"/>
        </w:rPr>
        <w:t xml:space="preserve">Met uitstekende absolute groeicijfers hebben Zweden, Tsjechië en Italië de omzetverwachtingen overtroffen.</w:t>
      </w:r>
      <w:bookmarkEnd w:id="5"/>
      <w:r>
        <w:rPr>
          <w:iCs/>
          <w:sz w:val="24"/>
          <w:szCs w:val="22"/>
        </w:rPr>
        <w:t xml:space="preserve"> </w:t>
      </w:r>
      <w:r>
        <w:rPr>
          <w:iCs/>
          <w:sz w:val="24"/>
          <w:szCs w:val="22"/>
        </w:rPr>
        <w:t xml:space="preserve">Aan de uiterst succesvolle ontwikkelingen in Noord-Europa (Zweden en Noorwegen elk +37 procent, Denemarken +15 procent en Finland zelfs +85 procent) heeft ook het in 2016 opgerichte dochterbedrijf PÖTTINGER Scandinavia enorm bijgedragen.</w:t>
      </w:r>
      <w:r>
        <w:rPr>
          <w:iCs/>
          <w:sz w:val="24"/>
          <w:szCs w:val="22"/>
        </w:rPr>
        <w:t xml:space="preserve"> </w:t>
      </w:r>
    </w:p>
    <w:p w14:paraId="3CF6485D" w14:textId="77777777" w:rsidR="008C68D8" w:rsidRPr="0091686B" w:rsidRDefault="008C68D8" w:rsidP="005F340C">
      <w:pPr>
        <w:spacing w:line="360" w:lineRule="auto"/>
        <w:jc w:val="both"/>
        <w:rPr>
          <w:rFonts w:cs="Arial"/>
          <w:iCs/>
          <w:sz w:val="24"/>
          <w:szCs w:val="22"/>
          <w:lang w:val="de-DE"/>
        </w:rPr>
      </w:pPr>
    </w:p>
    <w:p w14:paraId="0E404349" w14:textId="53C4514C" w:rsidR="002F3A42" w:rsidRPr="00372948" w:rsidRDefault="0049721A" w:rsidP="00FB5247">
      <w:pPr>
        <w:spacing w:line="360" w:lineRule="auto"/>
        <w:jc w:val="both"/>
        <w:rPr>
          <w:iCs/>
          <w:sz w:val="28"/>
          <w:szCs w:val="28"/>
          <w:rFonts w:cs="Arial"/>
        </w:rPr>
      </w:pPr>
      <w:r>
        <w:rPr>
          <w:iCs/>
          <w:sz w:val="28"/>
          <w:szCs w:val="28"/>
        </w:rPr>
        <w:t xml:space="preserve">Onze visie</w:t>
      </w:r>
    </w:p>
    <w:p w14:paraId="52620CAD" w14:textId="351EA36B" w:rsidR="00BC1770" w:rsidRPr="005D4233" w:rsidRDefault="00D42F4D" w:rsidP="00FB5247">
      <w:pPr>
        <w:spacing w:line="360" w:lineRule="auto"/>
        <w:jc w:val="both"/>
        <w:rPr>
          <w:iCs/>
          <w:sz w:val="24"/>
          <w:rFonts w:cs="Arial"/>
        </w:rPr>
      </w:pPr>
      <w:r>
        <w:rPr>
          <w:iCs/>
          <w:sz w:val="24"/>
        </w:rPr>
        <w:t xml:space="preserve">"Als onafhankelijk familiebedrijf is het ons doel om landbouwbedrijven succesvoller te maken, hun werk te vergemakkelijken en de kwaliteit van hun producten te verbeteren.</w:t>
      </w:r>
      <w:r>
        <w:rPr>
          <w:iCs/>
          <w:sz w:val="24"/>
        </w:rPr>
        <w:t xml:space="preserve"> </w:t>
      </w:r>
      <w:r>
        <w:rPr>
          <w:iCs/>
          <w:sz w:val="24"/>
        </w:rPr>
        <w:t xml:space="preserve">Daarbij garanderen we uitstekende werkresultaten en optimale efficiëntie.</w:t>
      </w:r>
      <w:r>
        <w:rPr>
          <w:iCs/>
          <w:sz w:val="24"/>
        </w:rPr>
        <w:t xml:space="preserve"> </w:t>
      </w:r>
      <w:r>
        <w:rPr>
          <w:iCs/>
          <w:sz w:val="24"/>
          <w:szCs w:val="22"/>
        </w:rPr>
        <w:t xml:space="preserve">Landbouwtechniek is onze lust en ons leven.</w:t>
      </w:r>
      <w:r>
        <w:rPr>
          <w:iCs/>
          <w:sz w:val="24"/>
          <w:szCs w:val="22"/>
        </w:rPr>
        <w:t xml:space="preserve"> </w:t>
      </w:r>
      <w:bookmarkStart w:id="6" w:name="_Hlk18409370"/>
      <w:r>
        <w:rPr>
          <w:iCs/>
          <w:sz w:val="24"/>
          <w:szCs w:val="22"/>
        </w:rPr>
        <w:t xml:space="preserve">Dankzij onze betrokken medewerkers, de betrouwbare samenwerking met onze klanten en de voortdurende innovatie van onze machines en diensten kunnen we onze solide groei in de toekomst vasthouden", vertelt directiewoordvoerder Gregor Dietachmayr over de aandachtspunten voor de komende jaren.</w:t>
      </w:r>
      <w:bookmarkEnd w:id="6"/>
    </w:p>
    <w:p w14:paraId="32CD7EC6" w14:textId="77777777" w:rsidR="002F3A42" w:rsidRPr="005D4233" w:rsidRDefault="002F3A42" w:rsidP="00FB5247">
      <w:pPr>
        <w:jc w:val="both"/>
        <w:rPr>
          <w:rFonts w:cs="Arial"/>
          <w:iCs/>
          <w:sz w:val="24"/>
          <w:szCs w:val="22"/>
          <w:lang w:val="de-DE"/>
        </w:rPr>
      </w:pPr>
    </w:p>
    <w:p w14:paraId="31F55CF7" w14:textId="4FF38C5B" w:rsidR="00F40301" w:rsidRDefault="00F40301" w:rsidP="00F40301">
      <w:pPr>
        <w:spacing w:line="360" w:lineRule="auto"/>
        <w:jc w:val="both"/>
        <w:rPr>
          <w:b/>
          <w:sz w:val="24"/>
          <w:szCs w:val="22"/>
          <w:rFonts w:cs="Arial"/>
        </w:rPr>
      </w:pPr>
      <w:r>
        <w:rPr>
          <w:b/>
          <w:sz w:val="24"/>
          <w:szCs w:val="22"/>
        </w:rPr>
        <w:t xml:space="preserve">Persfoto's:</w:t>
      </w:r>
    </w:p>
    <w:tbl>
      <w:tblPr>
        <w:tblStyle w:val="Tabellenraster"/>
        <w:tblW w:w="0" w:type="auto"/>
        <w:tblLook w:val="04A0" w:firstRow="1" w:lastRow="0" w:firstColumn="1" w:lastColumn="0" w:noHBand="0" w:noVBand="1"/>
      </w:tblPr>
      <w:tblGrid>
        <w:gridCol w:w="4485"/>
        <w:gridCol w:w="4577"/>
      </w:tblGrid>
      <w:tr w:rsidR="00A83FD5" w:rsidRPr="00A83FD5" w14:paraId="6161DF2D" w14:textId="77777777" w:rsidTr="00E72816">
        <w:tc>
          <w:tcPr>
            <w:tcW w:w="4485" w:type="dxa"/>
          </w:tcPr>
          <w:p w14:paraId="137B74D6" w14:textId="77777777" w:rsidR="00F71653" w:rsidRPr="00F71653" w:rsidRDefault="00F71653" w:rsidP="00942D12">
            <w:pPr>
              <w:spacing w:line="360" w:lineRule="auto"/>
              <w:jc w:val="center"/>
              <w:rPr>
                <w:rFonts w:cs="Arial"/>
                <w:sz w:val="16"/>
                <w:szCs w:val="16"/>
                <w:lang w:val="de-DE"/>
              </w:rPr>
            </w:pPr>
          </w:p>
          <w:p w14:paraId="2CFC4500" w14:textId="689411CB" w:rsidR="00F40301" w:rsidRPr="00A83FD5" w:rsidRDefault="00942D12" w:rsidP="00942D12">
            <w:pPr>
              <w:spacing w:line="360" w:lineRule="auto"/>
              <w:jc w:val="center"/>
              <w:rPr>
                <w:b/>
                <w:color w:val="FF00FF"/>
                <w:sz w:val="24"/>
                <w:szCs w:val="22"/>
                <w:rFonts w:cs="Arial"/>
              </w:rPr>
            </w:pPr>
            <w:r>
              <w:rPr>
                <w:color w:val="FF00FF"/>
              </w:rPr>
              <w:drawing>
                <wp:inline distT="0" distB="0" distL="0" distR="0" wp14:anchorId="1B4F69B2" wp14:editId="509684FD">
                  <wp:extent cx="1228725" cy="819150"/>
                  <wp:effectExtent l="0" t="0" r="9525" b="0"/>
                  <wp:docPr id="3" name="Bild 1" descr="https://cdn.poettinger.at/img/landtechnik/collection/gl/poettinger_gl_Dietachmayr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gl/poettinger_gl_Dietachmayr_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699" cy="819799"/>
                          </a:xfrm>
                          <a:prstGeom prst="rect">
                            <a:avLst/>
                          </a:prstGeom>
                          <a:noFill/>
                          <a:ln>
                            <a:noFill/>
                          </a:ln>
                        </pic:spPr>
                      </pic:pic>
                    </a:graphicData>
                  </a:graphic>
                </wp:inline>
              </w:drawing>
            </w:r>
          </w:p>
        </w:tc>
        <w:tc>
          <w:tcPr>
            <w:tcW w:w="4577" w:type="dxa"/>
          </w:tcPr>
          <w:p w14:paraId="1D84AB5F" w14:textId="77777777" w:rsidR="00F71653" w:rsidRPr="00F71653" w:rsidRDefault="00F71653" w:rsidP="00F81BDE">
            <w:pPr>
              <w:spacing w:line="360" w:lineRule="auto"/>
              <w:jc w:val="center"/>
              <w:rPr>
                <w:rFonts w:cs="Arial"/>
                <w:b/>
                <w:sz w:val="16"/>
                <w:szCs w:val="16"/>
                <w:lang w:val="de-DE"/>
              </w:rPr>
            </w:pPr>
          </w:p>
          <w:p w14:paraId="64EFDF99" w14:textId="023DF24A" w:rsidR="00F40301" w:rsidRPr="00A83FD5" w:rsidRDefault="00942D12" w:rsidP="00F81BDE">
            <w:pPr>
              <w:spacing w:line="360" w:lineRule="auto"/>
              <w:jc w:val="center"/>
              <w:rPr>
                <w:b/>
                <w:color w:val="FF00FF"/>
                <w:sz w:val="24"/>
                <w:szCs w:val="22"/>
                <w:rFonts w:cs="Arial"/>
              </w:rPr>
            </w:pPr>
            <w:r>
              <w:rPr>
                <w:color w:val="FF00FF"/>
              </w:rPr>
              <w:drawing>
                <wp:inline distT="0" distB="0" distL="0" distR="0" wp14:anchorId="3978C802" wp14:editId="699DD65B">
                  <wp:extent cx="1143000" cy="857250"/>
                  <wp:effectExtent l="0" t="0" r="0" b="0"/>
                  <wp:docPr id="4" name="Bild 2" descr="https://cdn.poettinger.at/img/landtechnik/collection/gl/Poettinger_GF_Maschine_Acker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poettinger.at/img/landtechnik/collection/gl/Poettinger_GF_Maschine_Acker_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tc>
      </w:tr>
      <w:tr w:rsidR="00A83FD5" w:rsidRPr="00A83FD5" w14:paraId="310C885F" w14:textId="77777777" w:rsidTr="00E72816">
        <w:tc>
          <w:tcPr>
            <w:tcW w:w="4485" w:type="dxa"/>
          </w:tcPr>
          <w:p w14:paraId="02BB9F16" w14:textId="77777777" w:rsidR="00942D12" w:rsidRPr="00960826" w:rsidRDefault="00F40301" w:rsidP="00942D12">
            <w:pPr>
              <w:jc w:val="center"/>
              <w:rPr>
                <w:szCs w:val="22"/>
                <w:rFonts w:cs="Arial"/>
              </w:rPr>
            </w:pPr>
            <w:r>
              <w:t xml:space="preserve">Gregor Dietachmayr,</w:t>
            </w:r>
            <w:r>
              <w:t xml:space="preserve"> </w:t>
            </w:r>
          </w:p>
          <w:p w14:paraId="72D2CB62" w14:textId="77777777" w:rsidR="00F40301" w:rsidRPr="00A83FD5" w:rsidRDefault="00F40301" w:rsidP="00942D12">
            <w:pPr>
              <w:jc w:val="center"/>
              <w:rPr>
                <w:color w:val="FF00FF"/>
                <w:szCs w:val="22"/>
                <w:rFonts w:cs="Arial"/>
              </w:rPr>
            </w:pPr>
            <w:r>
              <w:t xml:space="preserve">directiewoordvoerder</w:t>
            </w:r>
          </w:p>
        </w:tc>
        <w:tc>
          <w:tcPr>
            <w:tcW w:w="4577" w:type="dxa"/>
          </w:tcPr>
          <w:p w14:paraId="49252516" w14:textId="19E41B04" w:rsidR="00F40301" w:rsidRPr="00E72816" w:rsidRDefault="00F621A0" w:rsidP="00E72816">
            <w:pPr>
              <w:jc w:val="both"/>
              <w:rPr>
                <w:iCs/>
                <w:szCs w:val="22"/>
                <w:rFonts w:cs="Arial"/>
              </w:rPr>
            </w:pPr>
            <w:r>
              <w:t xml:space="preserve">V.l.n.r.:</w:t>
            </w:r>
            <w:r>
              <w:t xml:space="preserve"> </w:t>
            </w:r>
            <w:r>
              <w:t xml:space="preserve">Jörg Lechner, Markus Baldinger,</w:t>
            </w:r>
            <w:r>
              <w:t xml:space="preserve"> </w:t>
            </w:r>
            <w:r>
              <w:t xml:space="preserve">Gregor Dietachmayr,</w:t>
            </w:r>
            <w:r>
              <w:t xml:space="preserve"> </w:t>
            </w:r>
            <w:r>
              <w:t xml:space="preserve">Wolfgang Moser,</w:t>
            </w:r>
            <w:r>
              <w:t xml:space="preserve"> </w:t>
            </w:r>
            <w:r>
              <w:t xml:space="preserve">Herbert Wagner</w:t>
            </w:r>
          </w:p>
        </w:tc>
      </w:tr>
      <w:tr w:rsidR="00A83FD5" w:rsidRPr="00A83FD5" w14:paraId="7A28C75F" w14:textId="77777777" w:rsidTr="00E72816">
        <w:tc>
          <w:tcPr>
            <w:tcW w:w="4485" w:type="dxa"/>
          </w:tcPr>
          <w:p w14:paraId="48D87403" w14:textId="040621D0" w:rsidR="00F40301" w:rsidRPr="00960826" w:rsidRDefault="004C0A2B" w:rsidP="00942D12">
            <w:pPr>
              <w:jc w:val="center"/>
              <w:rPr>
                <w:b/>
                <w:color w:val="FF00FF"/>
                <w:sz w:val="20"/>
                <w:szCs w:val="20"/>
                <w:rFonts w:cs="Arial"/>
              </w:rPr>
            </w:pPr>
            <w:hyperlink r:id="rId10" w:history="1">
              <w:r>
                <w:rPr>
                  <w:color w:val="0000FF"/>
                  <w:sz w:val="20"/>
                  <w:szCs w:val="20"/>
                  <w:u w:val="single"/>
                </w:rPr>
                <w:t xml:space="preserve">http://www.poettinger.at/de_in/Newsroom/Pressebild/4063</w:t>
              </w:r>
            </w:hyperlink>
          </w:p>
        </w:tc>
        <w:tc>
          <w:tcPr>
            <w:tcW w:w="4577" w:type="dxa"/>
          </w:tcPr>
          <w:p w14:paraId="72491EA0" w14:textId="5FCC83A5" w:rsidR="00CA4B29" w:rsidRPr="00960826" w:rsidRDefault="004C0A2B" w:rsidP="00503E26">
            <w:pPr>
              <w:jc w:val="center"/>
              <w:rPr>
                <w:color w:val="0000FF"/>
                <w:sz w:val="20"/>
                <w:szCs w:val="20"/>
                <w:u w:val="single"/>
              </w:rPr>
            </w:pPr>
            <w:hyperlink r:id="rId11" w:history="1">
              <w:r>
                <w:rPr>
                  <w:color w:val="0000FF"/>
                  <w:sz w:val="20"/>
                  <w:szCs w:val="20"/>
                  <w:u w:val="single"/>
                </w:rPr>
                <w:t xml:space="preserve">https://www.poettinger.at/de_at/Newsroom/Pressebild/4062</w:t>
              </w:r>
            </w:hyperlink>
          </w:p>
        </w:tc>
      </w:tr>
    </w:tbl>
    <w:p w14:paraId="14590026" w14:textId="77777777" w:rsidR="00570C3D" w:rsidRPr="00301C9E" w:rsidRDefault="00570C3D" w:rsidP="00D26777">
      <w:pPr>
        <w:spacing w:line="360" w:lineRule="auto"/>
        <w:jc w:val="both"/>
        <w:rPr>
          <w:rFonts w:cs="Arial"/>
          <w:b/>
          <w:sz w:val="24"/>
          <w:szCs w:val="22"/>
        </w:rPr>
      </w:pPr>
    </w:p>
    <w:p w14:paraId="125C9674" w14:textId="4842F7F3" w:rsidR="002F3A42" w:rsidRDefault="002F3A42" w:rsidP="00F514CE">
      <w:pPr>
        <w:spacing w:line="360" w:lineRule="auto"/>
        <w:jc w:val="both"/>
        <w:rPr>
          <w:rStyle w:val="Hyperlink"/>
          <w:color w:val="auto"/>
          <w:szCs w:val="22"/>
          <w:rFonts w:cs="Arial"/>
        </w:rPr>
      </w:pPr>
      <w:r>
        <w:t xml:space="preserve">Meer persklare foto's vindt u op:</w:t>
      </w:r>
      <w:r>
        <w:t xml:space="preserve"> </w:t>
      </w:r>
      <w:hyperlink r:id="rId12" w:history="1">
        <w:r>
          <w:rPr>
            <w:rStyle w:val="Hyperlink"/>
          </w:rPr>
          <w:t xml:space="preserve">https://www.poettinger.at/presse</w:t>
        </w:r>
      </w:hyperlink>
    </w:p>
    <w:sectPr w:rsidR="002F3A42" w:rsidSect="00A92099">
      <w:headerReference w:type="default" r:id="rId13"/>
      <w:footerReference w:type="default" r:id="rId14"/>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85AEC" w14:textId="77777777" w:rsidR="00105362" w:rsidRDefault="00105362" w:rsidP="00A92099">
      <w:r>
        <w:separator/>
      </w:r>
    </w:p>
  </w:endnote>
  <w:endnote w:type="continuationSeparator" w:id="0">
    <w:p w14:paraId="3D8A6A4E" w14:textId="77777777" w:rsidR="00105362" w:rsidRDefault="00105362"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BAC33" w14:textId="028EF9E2" w:rsidR="00105362" w:rsidRDefault="00105362" w:rsidP="00F514CE">
    <w:pPr>
      <w:rPr>
        <w:rFonts w:cs="Arial"/>
        <w:b/>
        <w:sz w:val="18"/>
        <w:szCs w:val="18"/>
        <w:lang w:val="de-DE"/>
      </w:rPr>
    </w:pPr>
  </w:p>
  <w:p w14:paraId="4214F3C5" w14:textId="77777777" w:rsidR="00626315" w:rsidRPr="00796525" w:rsidRDefault="00626315" w:rsidP="00F514CE">
    <w:pPr>
      <w:rPr>
        <w:rFonts w:cs="Arial"/>
        <w:b/>
        <w:sz w:val="18"/>
        <w:szCs w:val="18"/>
        <w:lang w:val="de-DE"/>
      </w:rPr>
    </w:pPr>
  </w:p>
  <w:p w14:paraId="4F19E144" w14:textId="77777777" w:rsidR="00105362" w:rsidRDefault="00105362" w:rsidP="00F514CE">
    <w:pPr>
      <w:rPr>
        <w:b/>
        <w:sz w:val="18"/>
        <w:szCs w:val="18"/>
        <w:rFonts w:cs="Arial"/>
      </w:rPr>
    </w:pPr>
    <w:r>
      <w:rPr>
        <w:b/>
        <w:sz w:val="18"/>
        <w:szCs w:val="18"/>
      </w:rPr>
      <w:t xml:space="preserve">PÖTTINGER Landtechnik GmbH – Bedrijfscommunicatie</w:t>
    </w:r>
  </w:p>
  <w:p w14:paraId="2EE3C526" w14:textId="77777777" w:rsidR="00F40301" w:rsidRDefault="00F40301" w:rsidP="00F514CE">
    <w:pPr>
      <w:rPr>
        <w:sz w:val="18"/>
        <w:szCs w:val="18"/>
        <w:rFonts w:cs="Arial"/>
      </w:rPr>
    </w:pPr>
    <w:r>
      <w:rPr>
        <w:sz w:val="18"/>
        <w:szCs w:val="18"/>
      </w:rPr>
      <w:t xml:space="preserve">Inge Steibl,</w:t>
    </w:r>
    <w:r>
      <w:rPr>
        <w:sz w:val="18"/>
        <w:szCs w:val="18"/>
        <w:b/>
      </w:rPr>
      <w:t xml:space="preserve"> </w:t>
    </w:r>
    <w:r>
      <w:rPr>
        <w:sz w:val="18"/>
        <w:szCs w:val="18"/>
      </w:rPr>
      <w:t xml:space="preserve">Industriegelände 1, AT-4710 Grieskirchen,</w:t>
    </w:r>
    <w:r>
      <w:rPr>
        <w:sz w:val="18"/>
        <w:szCs w:val="18"/>
      </w:rPr>
      <w:t xml:space="preserve"> </w:t>
    </w:r>
  </w:p>
  <w:p w14:paraId="730F00C5" w14:textId="0E2CAF22" w:rsidR="00105362" w:rsidRPr="00796525" w:rsidRDefault="003E3356" w:rsidP="00F514CE">
    <w:pPr>
      <w:rPr>
        <w:sz w:val="18"/>
        <w:szCs w:val="18"/>
        <w:rFonts w:cs="Arial"/>
      </w:rPr>
    </w:pPr>
    <w:r>
      <w:rPr>
        <w:sz w:val="18"/>
        <w:szCs w:val="18"/>
      </w:rPr>
      <w:t xml:space="preserve">Tel.:</w:t>
    </w:r>
    <w:r>
      <w:rPr>
        <w:sz w:val="18"/>
        <w:szCs w:val="18"/>
      </w:rPr>
      <w:t xml:space="preserve"> </w:t>
    </w:r>
    <w:r>
      <w:rPr>
        <w:sz w:val="18"/>
        <w:szCs w:val="18"/>
      </w:rPr>
      <w:t xml:space="preserve">+43 7248 600 2415, inge.steibl@poettinger.at, www.poettinger.at</w:t>
      <w:tab/>
      <w:t xml:space="preserve">     </w:t>
      <w:tab/>
      <w:tab/>
      <w:tab/>
      <w:tab/>
      <w:t xml:space="preserve"> </w:t>
    </w:r>
    <w:r w:rsidR="00105362" w:rsidRPr="00AB6584">
      <w:rPr>
        <w:sz w:val="18"/>
        <w:szCs w:val="18"/>
        <w:rFonts w:cs="Arial"/>
      </w:rPr>
      <w:fldChar w:fldCharType="begin"/>
    </w:r>
    <w:r w:rsidR="00105362" w:rsidRPr="00AB6584">
      <w:rPr>
        <w:sz w:val="18"/>
        <w:szCs w:val="18"/>
        <w:rFonts w:cs="Arial"/>
      </w:rPr>
      <w:instrText xml:space="preserve"> PAGE   \* MERGEFORMAT </w:instrText>
    </w:r>
    <w:r w:rsidR="00105362" w:rsidRPr="00AB6584">
      <w:rPr>
        <w:sz w:val="18"/>
        <w:szCs w:val="18"/>
        <w:rFonts w:cs="Arial"/>
      </w:rPr>
      <w:fldChar w:fldCharType="separate"/>
    </w:r>
    <w:r w:rsidR="00A1023C">
      <w:rPr>
        <w:sz w:val="18"/>
        <w:szCs w:val="18"/>
        <w:rFonts w:cs="Arial"/>
      </w:rPr>
      <w:t>3</w:t>
    </w:r>
    <w:r w:rsidR="00105362" w:rsidRPr="00AB6584">
      <w:rPr>
        <w:sz w:val="18"/>
        <w:szCs w:val="18"/>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FDB84" w14:textId="77777777" w:rsidR="00105362" w:rsidRDefault="00105362" w:rsidP="00A92099">
      <w:r>
        <w:separator/>
      </w:r>
    </w:p>
  </w:footnote>
  <w:footnote w:type="continuationSeparator" w:id="0">
    <w:p w14:paraId="367F1E4E" w14:textId="77777777" w:rsidR="00105362" w:rsidRDefault="00105362"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67E20" w14:textId="77777777" w:rsidR="00105362" w:rsidRDefault="00F3189E" w:rsidP="00F2555A">
    <w:pPr>
      <w:spacing w:line="360" w:lineRule="auto"/>
      <w:rPr>
        <w:sz w:val="24"/>
        <w:rFonts w:cs="Arial"/>
      </w:rPr>
    </w:pPr>
    <w:r>
      <w:rPr>
        <w:b/>
        <w:sz w:val="24"/>
      </w:rPr>
      <w:drawing>
        <wp:anchor distT="0" distB="0" distL="114300" distR="114300" simplePos="0" relativeHeight="251658240" behindDoc="0" locked="0" layoutInCell="1" allowOverlap="1" wp14:anchorId="70F9E722" wp14:editId="3E24F2EC">
          <wp:simplePos x="0" y="0"/>
          <wp:positionH relativeFrom="margin">
            <wp:align>right</wp:align>
          </wp:positionH>
          <wp:positionV relativeFrom="margin">
            <wp:posOffset>-627380</wp:posOffset>
          </wp:positionV>
          <wp:extent cx="2495550" cy="244475"/>
          <wp:effectExtent l="0" t="0" r="0" b="3175"/>
          <wp:wrapSquare wrapText="bothSides"/>
          <wp:docPr id="14"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5550" cy="244475"/>
                  </a:xfrm>
                  <a:prstGeom prst="rect">
                    <a:avLst/>
                  </a:prstGeom>
                  <a:noFill/>
                  <a:ln w="9525">
                    <a:noFill/>
                    <a:miter lim="800000"/>
                    <a:headEnd/>
                    <a:tailEnd/>
                  </a:ln>
                </pic:spPr>
              </pic:pic>
            </a:graphicData>
          </a:graphic>
        </wp:anchor>
      </w:drawing>
    </w:r>
    <w:r>
      <w:rPr>
        <w:sz w:val="24"/>
      </w:rPr>
      <w:t xml:space="preserve"> </w:t>
    </w:r>
  </w:p>
  <w:p w14:paraId="18B16C85" w14:textId="77777777" w:rsidR="00105362" w:rsidRDefault="00F40301" w:rsidP="006E79F5">
    <w:pPr>
      <w:tabs>
        <w:tab w:val="left" w:pos="8265"/>
      </w:tabs>
      <w:spacing w:line="360" w:lineRule="auto"/>
      <w:rPr>
        <w:b/>
        <w:sz w:val="24"/>
        <w:rFonts w:cs="Arial"/>
      </w:rPr>
    </w:pPr>
    <w:r>
      <w:rPr>
        <w:b/>
        <w:sz w:val="24"/>
      </w:rPr>
      <w:t xml:space="preserve">Persbericht</w:t>
    </w:r>
  </w:p>
  <w:p w14:paraId="699CDB18" w14:textId="77777777" w:rsidR="00F3189E" w:rsidRPr="00563BB7" w:rsidRDefault="00F3189E" w:rsidP="006E79F5">
    <w:pPr>
      <w:tabs>
        <w:tab w:val="left" w:pos="8265"/>
      </w:tabs>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A2F88"/>
    <w:multiLevelType w:val="hybridMultilevel"/>
    <w:tmpl w:val="30905D0C"/>
    <w:lvl w:ilvl="0" w:tplc="EA92A6A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0B757B"/>
    <w:multiLevelType w:val="hybridMultilevel"/>
    <w:tmpl w:val="A7446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dirty"/>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B"/>
    <w:rsid w:val="0000763A"/>
    <w:rsid w:val="000103D6"/>
    <w:rsid w:val="0001091E"/>
    <w:rsid w:val="000511C3"/>
    <w:rsid w:val="000729E6"/>
    <w:rsid w:val="00080095"/>
    <w:rsid w:val="00083112"/>
    <w:rsid w:val="00086292"/>
    <w:rsid w:val="00090CD0"/>
    <w:rsid w:val="000A2F69"/>
    <w:rsid w:val="000B3E73"/>
    <w:rsid w:val="000B593F"/>
    <w:rsid w:val="000D391F"/>
    <w:rsid w:val="000E636D"/>
    <w:rsid w:val="000F775B"/>
    <w:rsid w:val="000F7BB8"/>
    <w:rsid w:val="00105362"/>
    <w:rsid w:val="0010591C"/>
    <w:rsid w:val="001079C7"/>
    <w:rsid w:val="001233CA"/>
    <w:rsid w:val="00132418"/>
    <w:rsid w:val="00133BFE"/>
    <w:rsid w:val="001359FE"/>
    <w:rsid w:val="0014096D"/>
    <w:rsid w:val="00166CD0"/>
    <w:rsid w:val="0017619E"/>
    <w:rsid w:val="00181783"/>
    <w:rsid w:val="00192865"/>
    <w:rsid w:val="00194E7B"/>
    <w:rsid w:val="00195194"/>
    <w:rsid w:val="001A3357"/>
    <w:rsid w:val="001A72E9"/>
    <w:rsid w:val="001A7EDC"/>
    <w:rsid w:val="001B0186"/>
    <w:rsid w:val="001B0846"/>
    <w:rsid w:val="001C431C"/>
    <w:rsid w:val="001E262B"/>
    <w:rsid w:val="001F0303"/>
    <w:rsid w:val="001F3694"/>
    <w:rsid w:val="0020021C"/>
    <w:rsid w:val="00203C2A"/>
    <w:rsid w:val="00203DE9"/>
    <w:rsid w:val="0021757E"/>
    <w:rsid w:val="00217704"/>
    <w:rsid w:val="002239D3"/>
    <w:rsid w:val="00233B52"/>
    <w:rsid w:val="00250690"/>
    <w:rsid w:val="0025382C"/>
    <w:rsid w:val="00255913"/>
    <w:rsid w:val="002624BB"/>
    <w:rsid w:val="002851E1"/>
    <w:rsid w:val="00286632"/>
    <w:rsid w:val="00293311"/>
    <w:rsid w:val="00295192"/>
    <w:rsid w:val="002A347B"/>
    <w:rsid w:val="002B1DDA"/>
    <w:rsid w:val="002C4658"/>
    <w:rsid w:val="002D65F4"/>
    <w:rsid w:val="002E072E"/>
    <w:rsid w:val="002E0819"/>
    <w:rsid w:val="002F3A42"/>
    <w:rsid w:val="002F4A34"/>
    <w:rsid w:val="002F68F9"/>
    <w:rsid w:val="00301C9E"/>
    <w:rsid w:val="00305161"/>
    <w:rsid w:val="00306D4E"/>
    <w:rsid w:val="00310761"/>
    <w:rsid w:val="00332F2C"/>
    <w:rsid w:val="003339E3"/>
    <w:rsid w:val="0033632A"/>
    <w:rsid w:val="00341328"/>
    <w:rsid w:val="00354075"/>
    <w:rsid w:val="0036554E"/>
    <w:rsid w:val="00367BAE"/>
    <w:rsid w:val="00370CDF"/>
    <w:rsid w:val="00372948"/>
    <w:rsid w:val="003A1396"/>
    <w:rsid w:val="003A1BA9"/>
    <w:rsid w:val="003A6B12"/>
    <w:rsid w:val="003B5F5B"/>
    <w:rsid w:val="003B6E17"/>
    <w:rsid w:val="003C0FAE"/>
    <w:rsid w:val="003C47A7"/>
    <w:rsid w:val="003C47EF"/>
    <w:rsid w:val="003C4AD2"/>
    <w:rsid w:val="003E2BB0"/>
    <w:rsid w:val="003E3356"/>
    <w:rsid w:val="003E4C65"/>
    <w:rsid w:val="003E70BF"/>
    <w:rsid w:val="003E7558"/>
    <w:rsid w:val="003F1190"/>
    <w:rsid w:val="00414BF9"/>
    <w:rsid w:val="00414D93"/>
    <w:rsid w:val="00454B0B"/>
    <w:rsid w:val="0045696A"/>
    <w:rsid w:val="00467385"/>
    <w:rsid w:val="0047231E"/>
    <w:rsid w:val="0047316B"/>
    <w:rsid w:val="00475180"/>
    <w:rsid w:val="00475F1D"/>
    <w:rsid w:val="00477C43"/>
    <w:rsid w:val="00483994"/>
    <w:rsid w:val="00483A47"/>
    <w:rsid w:val="0049721A"/>
    <w:rsid w:val="004A4D6F"/>
    <w:rsid w:val="004C0A2B"/>
    <w:rsid w:val="004C25A8"/>
    <w:rsid w:val="004D13C6"/>
    <w:rsid w:val="004D51C0"/>
    <w:rsid w:val="004F271D"/>
    <w:rsid w:val="004F7891"/>
    <w:rsid w:val="004F7D2F"/>
    <w:rsid w:val="005039B8"/>
    <w:rsid w:val="00503E26"/>
    <w:rsid w:val="00510DBE"/>
    <w:rsid w:val="00511732"/>
    <w:rsid w:val="005118B3"/>
    <w:rsid w:val="005131A2"/>
    <w:rsid w:val="00513E2F"/>
    <w:rsid w:val="0051600D"/>
    <w:rsid w:val="00523CA9"/>
    <w:rsid w:val="00553987"/>
    <w:rsid w:val="00562B77"/>
    <w:rsid w:val="00563BB7"/>
    <w:rsid w:val="00564959"/>
    <w:rsid w:val="00570C3D"/>
    <w:rsid w:val="0057103E"/>
    <w:rsid w:val="00577F7C"/>
    <w:rsid w:val="005849B0"/>
    <w:rsid w:val="00593823"/>
    <w:rsid w:val="005A01A0"/>
    <w:rsid w:val="005C538F"/>
    <w:rsid w:val="005C6440"/>
    <w:rsid w:val="005D05E2"/>
    <w:rsid w:val="005D4233"/>
    <w:rsid w:val="005E1D9F"/>
    <w:rsid w:val="005E22A4"/>
    <w:rsid w:val="005E3656"/>
    <w:rsid w:val="005F340C"/>
    <w:rsid w:val="005F52BE"/>
    <w:rsid w:val="006003A7"/>
    <w:rsid w:val="00607765"/>
    <w:rsid w:val="00626315"/>
    <w:rsid w:val="00632E4B"/>
    <w:rsid w:val="006373F9"/>
    <w:rsid w:val="00647E50"/>
    <w:rsid w:val="00650000"/>
    <w:rsid w:val="006527FE"/>
    <w:rsid w:val="0066562C"/>
    <w:rsid w:val="006671E5"/>
    <w:rsid w:val="00690AB6"/>
    <w:rsid w:val="006932F7"/>
    <w:rsid w:val="00694417"/>
    <w:rsid w:val="00696E62"/>
    <w:rsid w:val="006D6874"/>
    <w:rsid w:val="006E3C71"/>
    <w:rsid w:val="006E79F5"/>
    <w:rsid w:val="006F4BAA"/>
    <w:rsid w:val="007026A3"/>
    <w:rsid w:val="00710CB9"/>
    <w:rsid w:val="00715C69"/>
    <w:rsid w:val="00721100"/>
    <w:rsid w:val="007245A4"/>
    <w:rsid w:val="00730974"/>
    <w:rsid w:val="00732FF9"/>
    <w:rsid w:val="0073638A"/>
    <w:rsid w:val="007401A5"/>
    <w:rsid w:val="00745D8A"/>
    <w:rsid w:val="00745EE4"/>
    <w:rsid w:val="00773D2C"/>
    <w:rsid w:val="00776BBB"/>
    <w:rsid w:val="007817A5"/>
    <w:rsid w:val="00782612"/>
    <w:rsid w:val="00793B87"/>
    <w:rsid w:val="00796525"/>
    <w:rsid w:val="007B12BD"/>
    <w:rsid w:val="007B4598"/>
    <w:rsid w:val="007B5537"/>
    <w:rsid w:val="007B7F3E"/>
    <w:rsid w:val="007C745B"/>
    <w:rsid w:val="007E3998"/>
    <w:rsid w:val="007F5582"/>
    <w:rsid w:val="007F645D"/>
    <w:rsid w:val="007F69F2"/>
    <w:rsid w:val="00805634"/>
    <w:rsid w:val="0081122D"/>
    <w:rsid w:val="00820FE0"/>
    <w:rsid w:val="00831037"/>
    <w:rsid w:val="00833003"/>
    <w:rsid w:val="00837983"/>
    <w:rsid w:val="00841C80"/>
    <w:rsid w:val="008611E7"/>
    <w:rsid w:val="008618BE"/>
    <w:rsid w:val="00861F8B"/>
    <w:rsid w:val="00867CDC"/>
    <w:rsid w:val="008857FE"/>
    <w:rsid w:val="008953E9"/>
    <w:rsid w:val="008A478F"/>
    <w:rsid w:val="008B1F4A"/>
    <w:rsid w:val="008C68D8"/>
    <w:rsid w:val="008D1B94"/>
    <w:rsid w:val="008D3602"/>
    <w:rsid w:val="008E42C7"/>
    <w:rsid w:val="008E6C96"/>
    <w:rsid w:val="008F345E"/>
    <w:rsid w:val="0090166F"/>
    <w:rsid w:val="009034C3"/>
    <w:rsid w:val="00906931"/>
    <w:rsid w:val="009122A6"/>
    <w:rsid w:val="0091686B"/>
    <w:rsid w:val="009271AE"/>
    <w:rsid w:val="009277ED"/>
    <w:rsid w:val="00930D86"/>
    <w:rsid w:val="0093621E"/>
    <w:rsid w:val="00940283"/>
    <w:rsid w:val="00942451"/>
    <w:rsid w:val="00942D12"/>
    <w:rsid w:val="00944E46"/>
    <w:rsid w:val="00951809"/>
    <w:rsid w:val="0095216B"/>
    <w:rsid w:val="00960826"/>
    <w:rsid w:val="00965677"/>
    <w:rsid w:val="0097188E"/>
    <w:rsid w:val="009818CF"/>
    <w:rsid w:val="00994725"/>
    <w:rsid w:val="009A212B"/>
    <w:rsid w:val="009A4861"/>
    <w:rsid w:val="009A48E8"/>
    <w:rsid w:val="009B09E1"/>
    <w:rsid w:val="009B27DF"/>
    <w:rsid w:val="009B6F3E"/>
    <w:rsid w:val="009B7C92"/>
    <w:rsid w:val="009C6C19"/>
    <w:rsid w:val="009D5026"/>
    <w:rsid w:val="009E7D93"/>
    <w:rsid w:val="00A024E7"/>
    <w:rsid w:val="00A05F62"/>
    <w:rsid w:val="00A1023C"/>
    <w:rsid w:val="00A26299"/>
    <w:rsid w:val="00A27DCD"/>
    <w:rsid w:val="00A33250"/>
    <w:rsid w:val="00A33633"/>
    <w:rsid w:val="00A37961"/>
    <w:rsid w:val="00A435C8"/>
    <w:rsid w:val="00A45D45"/>
    <w:rsid w:val="00A4724F"/>
    <w:rsid w:val="00A52A93"/>
    <w:rsid w:val="00A53216"/>
    <w:rsid w:val="00A53612"/>
    <w:rsid w:val="00A55C53"/>
    <w:rsid w:val="00A65772"/>
    <w:rsid w:val="00A761AC"/>
    <w:rsid w:val="00A83FD5"/>
    <w:rsid w:val="00A92099"/>
    <w:rsid w:val="00A93097"/>
    <w:rsid w:val="00AB6584"/>
    <w:rsid w:val="00AC3755"/>
    <w:rsid w:val="00AD334C"/>
    <w:rsid w:val="00AD69EB"/>
    <w:rsid w:val="00AE4208"/>
    <w:rsid w:val="00AF1FF1"/>
    <w:rsid w:val="00AF3C1D"/>
    <w:rsid w:val="00B030D8"/>
    <w:rsid w:val="00B04669"/>
    <w:rsid w:val="00B132B9"/>
    <w:rsid w:val="00B146DE"/>
    <w:rsid w:val="00B172F3"/>
    <w:rsid w:val="00B32434"/>
    <w:rsid w:val="00B331C0"/>
    <w:rsid w:val="00B50658"/>
    <w:rsid w:val="00B555E0"/>
    <w:rsid w:val="00B75A84"/>
    <w:rsid w:val="00B833C3"/>
    <w:rsid w:val="00B84117"/>
    <w:rsid w:val="00B87371"/>
    <w:rsid w:val="00B928D8"/>
    <w:rsid w:val="00BA44E9"/>
    <w:rsid w:val="00BB1A4C"/>
    <w:rsid w:val="00BB39C0"/>
    <w:rsid w:val="00BC1770"/>
    <w:rsid w:val="00BC5844"/>
    <w:rsid w:val="00BC6B0D"/>
    <w:rsid w:val="00BD7D03"/>
    <w:rsid w:val="00BF1549"/>
    <w:rsid w:val="00BF2E5C"/>
    <w:rsid w:val="00C06E5F"/>
    <w:rsid w:val="00C0770E"/>
    <w:rsid w:val="00C22754"/>
    <w:rsid w:val="00C22763"/>
    <w:rsid w:val="00C41834"/>
    <w:rsid w:val="00C554B4"/>
    <w:rsid w:val="00C60D4F"/>
    <w:rsid w:val="00C71CD6"/>
    <w:rsid w:val="00C819D2"/>
    <w:rsid w:val="00C865DB"/>
    <w:rsid w:val="00C9511E"/>
    <w:rsid w:val="00CA2767"/>
    <w:rsid w:val="00CA4B29"/>
    <w:rsid w:val="00CA7FAD"/>
    <w:rsid w:val="00CB09DA"/>
    <w:rsid w:val="00CB20F4"/>
    <w:rsid w:val="00CB2C5F"/>
    <w:rsid w:val="00CB2D2C"/>
    <w:rsid w:val="00CD2D62"/>
    <w:rsid w:val="00CD37AB"/>
    <w:rsid w:val="00CE1B7D"/>
    <w:rsid w:val="00CE371E"/>
    <w:rsid w:val="00CF524C"/>
    <w:rsid w:val="00D02CA4"/>
    <w:rsid w:val="00D10A8A"/>
    <w:rsid w:val="00D24A5B"/>
    <w:rsid w:val="00D26777"/>
    <w:rsid w:val="00D42F4D"/>
    <w:rsid w:val="00D43D59"/>
    <w:rsid w:val="00D6000B"/>
    <w:rsid w:val="00D630B5"/>
    <w:rsid w:val="00D66D21"/>
    <w:rsid w:val="00D75C62"/>
    <w:rsid w:val="00D81874"/>
    <w:rsid w:val="00D81D3B"/>
    <w:rsid w:val="00D918E6"/>
    <w:rsid w:val="00D94C66"/>
    <w:rsid w:val="00DA2903"/>
    <w:rsid w:val="00DA36EF"/>
    <w:rsid w:val="00DA5C72"/>
    <w:rsid w:val="00DA7B58"/>
    <w:rsid w:val="00DB042E"/>
    <w:rsid w:val="00DB51EA"/>
    <w:rsid w:val="00DB5DF6"/>
    <w:rsid w:val="00DC213C"/>
    <w:rsid w:val="00DC4369"/>
    <w:rsid w:val="00DC54BB"/>
    <w:rsid w:val="00DD7264"/>
    <w:rsid w:val="00DE232F"/>
    <w:rsid w:val="00E03806"/>
    <w:rsid w:val="00E215B5"/>
    <w:rsid w:val="00E244B7"/>
    <w:rsid w:val="00E25DB2"/>
    <w:rsid w:val="00E26C97"/>
    <w:rsid w:val="00E36883"/>
    <w:rsid w:val="00E40E5C"/>
    <w:rsid w:val="00E558B4"/>
    <w:rsid w:val="00E63E2D"/>
    <w:rsid w:val="00E663BF"/>
    <w:rsid w:val="00E667FA"/>
    <w:rsid w:val="00E66BB8"/>
    <w:rsid w:val="00E70629"/>
    <w:rsid w:val="00E72816"/>
    <w:rsid w:val="00E9569E"/>
    <w:rsid w:val="00EA1D1F"/>
    <w:rsid w:val="00EA296B"/>
    <w:rsid w:val="00EA456A"/>
    <w:rsid w:val="00EA579D"/>
    <w:rsid w:val="00EA718D"/>
    <w:rsid w:val="00EC142C"/>
    <w:rsid w:val="00EC6DA8"/>
    <w:rsid w:val="00ED1197"/>
    <w:rsid w:val="00ED3836"/>
    <w:rsid w:val="00ED5B80"/>
    <w:rsid w:val="00ED604D"/>
    <w:rsid w:val="00EF046D"/>
    <w:rsid w:val="00EF0FFC"/>
    <w:rsid w:val="00EF1F39"/>
    <w:rsid w:val="00EF7403"/>
    <w:rsid w:val="00F036A5"/>
    <w:rsid w:val="00F05C97"/>
    <w:rsid w:val="00F05CE7"/>
    <w:rsid w:val="00F0666F"/>
    <w:rsid w:val="00F239C8"/>
    <w:rsid w:val="00F23A63"/>
    <w:rsid w:val="00F2555A"/>
    <w:rsid w:val="00F25D9A"/>
    <w:rsid w:val="00F3189E"/>
    <w:rsid w:val="00F33183"/>
    <w:rsid w:val="00F40301"/>
    <w:rsid w:val="00F41C02"/>
    <w:rsid w:val="00F514CE"/>
    <w:rsid w:val="00F51F06"/>
    <w:rsid w:val="00F523EB"/>
    <w:rsid w:val="00F55E44"/>
    <w:rsid w:val="00F576B6"/>
    <w:rsid w:val="00F621A0"/>
    <w:rsid w:val="00F64D45"/>
    <w:rsid w:val="00F67603"/>
    <w:rsid w:val="00F71653"/>
    <w:rsid w:val="00F90C4A"/>
    <w:rsid w:val="00FA20B3"/>
    <w:rsid w:val="00FB5247"/>
    <w:rsid w:val="00FB7A4D"/>
    <w:rsid w:val="00FF4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0693983"/>
  <w15:docId w15:val="{9364D461-79F5-4281-8280-6FA4C227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val="nl-NL"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nl-NL"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nl-NL"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nl-NL"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nl-NL"/>
    </w:r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nl-NL"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nl-NL"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nl-NL"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styleId="Textkrper3">
    <w:name w:val="Body Text 3"/>
    <w:basedOn w:val="Standard"/>
    <w:link w:val="Textkrper3Zchn"/>
    <w:rsid w:val="00CA2767"/>
    <w:pPr>
      <w:spacing w:after="120"/>
    </w:pPr>
    <w:rPr>
      <w:rFonts w:ascii="Times New Roman" w:hAnsi="Times New Roman"/>
      <w:sz w:val="16"/>
      <w:szCs w:val="16"/>
      <w:lang w:val="nl-NL"/>
    </w:rPr>
  </w:style>
  <w:style w:type="character" w:customStyle="1" w:styleId="Textkrper3Zchn">
    <w:name w:val="Textkörper 3 Zchn"/>
    <w:basedOn w:val="Absatz-Standardschriftart"/>
    <w:link w:val="Textkrper3"/>
    <w:rsid w:val="00CA2767"/>
    <w:rPr>
      <w:sz w:val="16"/>
      <w:szCs w:val="16"/>
      <w:lang w:eastAsia="en-US"/>
    </w:rPr>
  </w:style>
  <w:style w:type="character" w:styleId="NichtaufgelsteErwhnung">
    <w:name w:val="Unresolved Mention"/>
    <w:basedOn w:val="Absatz-Standardschriftart"/>
    <w:uiPriority w:val="99"/>
    <w:semiHidden/>
    <w:unhideWhenUsed/>
    <w:rsid w:val="00570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0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ettinger.at/de_in/Newsroom/Pressebild/406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FE1933-9D68-49BE-A68B-9433B049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D654C1C5.dotm</Template>
  <TotalTime>0</TotalTime>
  <Pages>1</Pages>
  <Words>527</Words>
  <Characters>3327</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Geschäftsbericht 18/19 kurz</vt:lpstr>
    </vt:vector>
  </TitlesOfParts>
  <Company>PÖTTINGER Landtechnik GmbH</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Geschäftsbericht 18/19 kurz</dc:title>
  <dc:creator>steiing</dc:creator>
  <cp:lastModifiedBy>Huemer-Mayr Andrea</cp:lastModifiedBy>
  <cp:revision>2</cp:revision>
  <cp:lastPrinted>2019-09-03T10:52:00Z</cp:lastPrinted>
  <dcterms:created xsi:type="dcterms:W3CDTF">2019-09-04T06:13:00Z</dcterms:created>
  <dcterms:modified xsi:type="dcterms:W3CDTF">2019-09-04T06:13:00Z</dcterms:modified>
</cp:coreProperties>
</file>