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000A498C" w:rsidR="0059599A" w:rsidRPr="00CE7B44" w:rsidRDefault="746D640B" w:rsidP="28E75155">
      <w:pPr>
        <w:autoSpaceDE w:val="0"/>
        <w:autoSpaceDN w:val="0"/>
        <w:adjustRightInd w:val="0"/>
        <w:spacing w:line="360" w:lineRule="auto"/>
        <w:jc w:val="both"/>
        <w:rPr>
          <w:rFonts w:ascii="Arial" w:hAnsi="Arial" w:cs="Arial"/>
          <w:sz w:val="38"/>
          <w:szCs w:val="38"/>
        </w:rPr>
      </w:pPr>
      <w:r>
        <w:rPr>
          <w:rFonts w:ascii="Arial" w:hAnsi="Arial"/>
          <w:color w:val="000000" w:themeColor="text1"/>
          <w:sz w:val="38"/>
          <w:szCs w:val="38"/>
        </w:rPr>
        <w:t>S</w:t>
      </w:r>
      <w:r>
        <w:rPr>
          <w:rFonts w:ascii="Arial" w:hAnsi="Arial"/>
          <w:sz w:val="38"/>
          <w:szCs w:val="38"/>
        </w:rPr>
        <w:t>ERVO 4000 : nouvelle charrue réversible portée de PÖTTINGER</w:t>
      </w:r>
    </w:p>
    <w:p w14:paraId="5C611DF4" w14:textId="713BBEE2" w:rsidR="00124864" w:rsidRPr="00CE7B44" w:rsidRDefault="1A262931" w:rsidP="28E75155">
      <w:pPr>
        <w:autoSpaceDE w:val="0"/>
        <w:autoSpaceDN w:val="0"/>
        <w:adjustRightInd w:val="0"/>
        <w:spacing w:line="360" w:lineRule="auto"/>
        <w:jc w:val="both"/>
        <w:rPr>
          <w:rFonts w:ascii="Arial" w:hAnsi="Arial" w:cs="Arial"/>
          <w:sz w:val="32"/>
          <w:szCs w:val="32"/>
        </w:rPr>
      </w:pPr>
      <w:r>
        <w:rPr>
          <w:rFonts w:ascii="Arial" w:hAnsi="Arial"/>
          <w:sz w:val="32"/>
          <w:szCs w:val="32"/>
        </w:rPr>
        <w:t>Un retournement parfait</w:t>
      </w:r>
    </w:p>
    <w:p w14:paraId="17E15C09" w14:textId="49151EA0" w:rsidR="00005D4E" w:rsidRPr="00005D4E" w:rsidRDefault="156C66D6" w:rsidP="28E75155">
      <w:pPr>
        <w:autoSpaceDE w:val="0"/>
        <w:autoSpaceDN w:val="0"/>
        <w:adjustRightInd w:val="0"/>
        <w:spacing w:line="360" w:lineRule="auto"/>
        <w:jc w:val="both"/>
        <w:rPr>
          <w:rFonts w:ascii="Arial" w:hAnsi="Arial" w:cs="Arial"/>
        </w:rPr>
      </w:pPr>
      <w:r w:rsidRPr="1363BA50">
        <w:rPr>
          <w:rFonts w:ascii="Arial" w:hAnsi="Arial"/>
        </w:rPr>
        <w:t xml:space="preserve">La charrue reste un outil </w:t>
      </w:r>
      <w:r w:rsidR="007C103A" w:rsidRPr="1363BA50">
        <w:rPr>
          <w:rFonts w:ascii="Arial" w:hAnsi="Arial"/>
        </w:rPr>
        <w:t xml:space="preserve">essentiel </w:t>
      </w:r>
      <w:r w:rsidRPr="1363BA50">
        <w:rPr>
          <w:rFonts w:ascii="Arial" w:hAnsi="Arial"/>
        </w:rPr>
        <w:t xml:space="preserve">pour l'agriculture, notamment pour la régulation des adventices et la santé des plantes. Aucun matériel n'est soumis à une palette aussi large de besoins </w:t>
      </w:r>
      <w:r w:rsidR="007C103A" w:rsidRPr="1363BA50">
        <w:rPr>
          <w:rFonts w:ascii="Arial" w:hAnsi="Arial"/>
        </w:rPr>
        <w:t>spécifique</w:t>
      </w:r>
      <w:r w:rsidR="00E0104A" w:rsidRPr="1363BA50">
        <w:rPr>
          <w:rFonts w:ascii="Arial" w:hAnsi="Arial"/>
        </w:rPr>
        <w:t>s</w:t>
      </w:r>
      <w:r w:rsidRPr="1363BA50">
        <w:rPr>
          <w:rFonts w:ascii="Arial" w:hAnsi="Arial"/>
        </w:rPr>
        <w:t xml:space="preserve"> que la charrue, qui doit s’adapter à des sols d'une grande variabilité à travers le monde. Le spécialiste du travail du sol PÖTTINGER a conçu une charrue réversible portée de nouvelle génération, la SERVO 4000</w:t>
      </w:r>
      <w:r w:rsidR="007D17BC">
        <w:rPr>
          <w:rFonts w:ascii="Arial" w:hAnsi="Arial"/>
        </w:rPr>
        <w:t> </w:t>
      </w:r>
      <w:r w:rsidRPr="1363BA50">
        <w:rPr>
          <w:rFonts w:ascii="Arial" w:hAnsi="Arial"/>
        </w:rPr>
        <w:t xml:space="preserve">: un centre de réglage simple et clair, un dispositif de retournement et un châssis extrêmement robustes et durables, ainsi qu'une géométrie d'attelage optimisée. Avec </w:t>
      </w:r>
      <w:r w:rsidR="00FA31EC" w:rsidRPr="1363BA50">
        <w:rPr>
          <w:rFonts w:ascii="Arial" w:hAnsi="Arial"/>
        </w:rPr>
        <w:t>s</w:t>
      </w:r>
      <w:r w:rsidRPr="1363BA50">
        <w:rPr>
          <w:rFonts w:ascii="Arial" w:hAnsi="Arial"/>
        </w:rPr>
        <w:t>es corps de charrue éprouvés, la SERVO 4000 est équipée pour une utilisation professionnelle pendant de nombreuses années.</w:t>
      </w:r>
    </w:p>
    <w:p w14:paraId="33C475D3" w14:textId="77777777" w:rsidR="00C06232" w:rsidRPr="00FA31EC" w:rsidRDefault="00C06232" w:rsidP="28E75155">
      <w:pPr>
        <w:autoSpaceDE w:val="0"/>
        <w:autoSpaceDN w:val="0"/>
        <w:adjustRightInd w:val="0"/>
        <w:spacing w:line="360" w:lineRule="auto"/>
        <w:jc w:val="both"/>
        <w:rPr>
          <w:rFonts w:ascii="Arial" w:hAnsi="Arial" w:cs="Arial"/>
          <w:lang w:eastAsia="de-DE"/>
        </w:rPr>
      </w:pPr>
    </w:p>
    <w:p w14:paraId="4239C971" w14:textId="24E1DDE4" w:rsidR="00541A09" w:rsidRDefault="71DFE3AB" w:rsidP="28E75155">
      <w:pPr>
        <w:autoSpaceDE w:val="0"/>
        <w:autoSpaceDN w:val="0"/>
        <w:adjustRightInd w:val="0"/>
        <w:spacing w:line="360" w:lineRule="auto"/>
        <w:jc w:val="both"/>
        <w:rPr>
          <w:rFonts w:ascii="Arial" w:hAnsi="Arial" w:cs="Arial"/>
        </w:rPr>
      </w:pPr>
      <w:r>
        <w:rPr>
          <w:rFonts w:ascii="Arial" w:hAnsi="Arial"/>
        </w:rPr>
        <w:t>Les nouvelles charrues réversibles portées sont proposées en version standard, NOVA, PLUS et PLUS NOVA (de 4 à 6 corps). Les charrues NOVA et PLUS NOVA disposent d'une sécurité contre les pierres hydraulique avec une force de déclenchement réglable jusqu'à 1 400 kg, ce qui protège efficacement la charrue et assure de pouvoir travailler sans temps d'arrêts. La nouvelle gamme SERVO 4000 est disponible avec un dégagement entre corps de 102 cm et un dégagement sous bâti de 80 cm voire 90 cm en option.</w:t>
      </w:r>
    </w:p>
    <w:p w14:paraId="3DF1CB0B" w14:textId="77777777" w:rsidR="00C06232" w:rsidRPr="00FA31EC" w:rsidRDefault="00C06232" w:rsidP="28E75155">
      <w:pPr>
        <w:autoSpaceDE w:val="0"/>
        <w:autoSpaceDN w:val="0"/>
        <w:adjustRightInd w:val="0"/>
        <w:spacing w:line="360" w:lineRule="auto"/>
        <w:jc w:val="both"/>
        <w:rPr>
          <w:rFonts w:ascii="Arial" w:hAnsi="Arial" w:cs="Arial"/>
          <w:lang w:eastAsia="de-DE"/>
        </w:rPr>
      </w:pPr>
    </w:p>
    <w:p w14:paraId="3058D10C" w14:textId="77777777" w:rsidR="00C06232" w:rsidRPr="00C06232" w:rsidRDefault="71DFE3AB" w:rsidP="28E75155">
      <w:pPr>
        <w:autoSpaceDE w:val="0"/>
        <w:autoSpaceDN w:val="0"/>
        <w:adjustRightInd w:val="0"/>
        <w:spacing w:line="360" w:lineRule="auto"/>
        <w:jc w:val="both"/>
        <w:rPr>
          <w:rFonts w:ascii="Arial" w:hAnsi="Arial" w:cs="Arial"/>
          <w:b/>
          <w:bCs/>
        </w:rPr>
      </w:pPr>
      <w:r>
        <w:rPr>
          <w:rFonts w:ascii="Arial" w:hAnsi="Arial"/>
          <w:b/>
          <w:bCs/>
        </w:rPr>
        <w:t>Forte rentabilité</w:t>
      </w:r>
    </w:p>
    <w:p w14:paraId="61403B19" w14:textId="27DF0EB1" w:rsidR="002C1821" w:rsidRPr="00B40E70" w:rsidRDefault="61D9003A" w:rsidP="28E75155">
      <w:pPr>
        <w:spacing w:line="360" w:lineRule="auto"/>
        <w:jc w:val="both"/>
        <w:rPr>
          <w:rFonts w:ascii="Arial" w:hAnsi="Arial" w:cs="Arial"/>
        </w:rPr>
      </w:pPr>
      <w:r w:rsidRPr="1363BA50">
        <w:rPr>
          <w:rFonts w:ascii="Arial" w:hAnsi="Arial"/>
        </w:rPr>
        <w:t>Le dispositif TRACTION CONTROL assure un report de charge constant de la charrue sur le tracteur. L'amélioration de la traction garantit un travail efficient, avec une réduction du patinage et une diminution du compactage du sol. Cela évite la formation d'une s</w:t>
      </w:r>
      <w:r w:rsidR="00C25C5C" w:rsidRPr="1363BA50">
        <w:rPr>
          <w:rFonts w:ascii="Arial" w:hAnsi="Arial"/>
        </w:rPr>
        <w:t>emelle</w:t>
      </w:r>
      <w:r w:rsidRPr="1363BA50">
        <w:rPr>
          <w:rFonts w:ascii="Arial" w:hAnsi="Arial"/>
        </w:rPr>
        <w:t xml:space="preserve"> de labour dommageable pour la croissance des plantes, la vie du sol ainsi que l'assimilation de l'eau et des nutriments. De plus, la consommation de carburant peut être réduite de jusqu'à 10 %. La rentabilité pure.</w:t>
      </w:r>
    </w:p>
    <w:p w14:paraId="35C18F3B" w14:textId="77777777" w:rsidR="002D4E4B" w:rsidRPr="00FA31EC" w:rsidRDefault="002D4E4B" w:rsidP="28E75155">
      <w:pPr>
        <w:spacing w:line="360" w:lineRule="auto"/>
        <w:jc w:val="both"/>
        <w:rPr>
          <w:rFonts w:ascii="Arial" w:hAnsi="Arial" w:cs="Arial"/>
        </w:rPr>
      </w:pPr>
    </w:p>
    <w:p w14:paraId="5DA09F40" w14:textId="04F0AF80" w:rsidR="002D4E4B" w:rsidRPr="00B83850" w:rsidRDefault="74318992" w:rsidP="28E75155">
      <w:pPr>
        <w:autoSpaceDE w:val="0"/>
        <w:autoSpaceDN w:val="0"/>
        <w:adjustRightInd w:val="0"/>
        <w:spacing w:line="360" w:lineRule="auto"/>
        <w:jc w:val="both"/>
        <w:rPr>
          <w:rFonts w:ascii="Arial" w:hAnsi="Arial" w:cs="Arial"/>
        </w:rPr>
      </w:pPr>
      <w:r w:rsidRPr="1363BA50">
        <w:rPr>
          <w:rFonts w:ascii="Arial" w:hAnsi="Arial"/>
        </w:rPr>
        <w:t xml:space="preserve">Les points de graissage de la nouvelle SERVO 4000 sont facilement accessibles afin de réduire la maintenance au minimum. De plus, toutes les pointes interchangeables sont fabriquées </w:t>
      </w:r>
      <w:r w:rsidR="00FA31EC" w:rsidRPr="1363BA50">
        <w:rPr>
          <w:rFonts w:ascii="Arial" w:hAnsi="Arial"/>
        </w:rPr>
        <w:t>de</w:t>
      </w:r>
      <w:r w:rsidRPr="1363BA50">
        <w:rPr>
          <w:rFonts w:ascii="Arial" w:hAnsi="Arial"/>
        </w:rPr>
        <w:t xml:space="preserve"> série en qualité DURASTAR avec un </w:t>
      </w:r>
      <w:r w:rsidR="005F0323" w:rsidRPr="1363BA50">
        <w:rPr>
          <w:rFonts w:ascii="Arial" w:hAnsi="Arial"/>
        </w:rPr>
        <w:t>rechargement</w:t>
      </w:r>
      <w:r w:rsidRPr="1363BA50">
        <w:rPr>
          <w:rFonts w:ascii="Arial" w:hAnsi="Arial"/>
        </w:rPr>
        <w:t xml:space="preserve"> en carbure de tungstène. La durée de vie des pointes est ainsi significativement augmentée.</w:t>
      </w:r>
    </w:p>
    <w:p w14:paraId="698F34FD" w14:textId="77777777" w:rsidR="005678A3" w:rsidRPr="00FA31EC" w:rsidRDefault="005678A3" w:rsidP="28E75155">
      <w:pPr>
        <w:autoSpaceDE w:val="0"/>
        <w:autoSpaceDN w:val="0"/>
        <w:adjustRightInd w:val="0"/>
        <w:spacing w:line="360" w:lineRule="auto"/>
        <w:jc w:val="both"/>
        <w:rPr>
          <w:rFonts w:ascii="Arial" w:hAnsi="Arial" w:cs="Arial"/>
          <w:b/>
          <w:bCs/>
        </w:rPr>
      </w:pPr>
    </w:p>
    <w:p w14:paraId="04097F2A" w14:textId="1E359AE3" w:rsidR="002D4E4B" w:rsidRPr="002D4E4B" w:rsidRDefault="14A2F518" w:rsidP="28E75155">
      <w:pPr>
        <w:autoSpaceDE w:val="0"/>
        <w:autoSpaceDN w:val="0"/>
        <w:adjustRightInd w:val="0"/>
        <w:spacing w:line="360" w:lineRule="auto"/>
        <w:jc w:val="both"/>
        <w:rPr>
          <w:rFonts w:ascii="Arial" w:hAnsi="Arial" w:cs="Arial"/>
          <w:b/>
          <w:bCs/>
        </w:rPr>
      </w:pPr>
      <w:r>
        <w:rPr>
          <w:rFonts w:ascii="Arial" w:hAnsi="Arial"/>
          <w:b/>
          <w:bCs/>
        </w:rPr>
        <w:t>Un attelage individuel</w:t>
      </w:r>
    </w:p>
    <w:p w14:paraId="7B602387" w14:textId="5D115C64" w:rsidR="00804849" w:rsidRDefault="74318992" w:rsidP="28E75155">
      <w:pPr>
        <w:autoSpaceDE w:val="0"/>
        <w:autoSpaceDN w:val="0"/>
        <w:adjustRightInd w:val="0"/>
        <w:spacing w:line="360" w:lineRule="auto"/>
        <w:jc w:val="both"/>
        <w:rPr>
          <w:rFonts w:ascii="Arial" w:hAnsi="Arial" w:cs="Arial"/>
        </w:rPr>
      </w:pPr>
      <w:r w:rsidRPr="1363BA50">
        <w:rPr>
          <w:rFonts w:ascii="Arial" w:hAnsi="Arial"/>
        </w:rPr>
        <w:t xml:space="preserve">Les géométries d'attelage des tracteurs des différents segments de puissance sont très diverses. PÖTTINGER a développé la tête d'attelage de sa nouvelle charrue en conséquence. Grâce à de nombreuses possibilités de réglage, elle s'adapte parfaitement au tracteur. </w:t>
      </w:r>
      <w:r w:rsidR="006D0D85" w:rsidRPr="1363BA50">
        <w:rPr>
          <w:rFonts w:ascii="Arial" w:hAnsi="Arial"/>
        </w:rPr>
        <w:t xml:space="preserve">En plus d’un attelage </w:t>
      </w:r>
      <w:r w:rsidR="00C459D9" w:rsidRPr="1363BA50">
        <w:rPr>
          <w:rFonts w:ascii="Arial" w:hAnsi="Arial"/>
        </w:rPr>
        <w:t>standard</w:t>
      </w:r>
      <w:r w:rsidR="00CE5D1E" w:rsidRPr="1363BA50">
        <w:rPr>
          <w:rFonts w:ascii="Arial" w:hAnsi="Arial"/>
        </w:rPr>
        <w:t xml:space="preserve"> </w:t>
      </w:r>
      <w:r w:rsidR="004E464C" w:rsidRPr="1363BA50">
        <w:rPr>
          <w:rFonts w:ascii="Arial" w:hAnsi="Arial"/>
        </w:rPr>
        <w:t xml:space="preserve">de </w:t>
      </w:r>
      <w:r w:rsidR="00CE5D1E" w:rsidRPr="1363BA50">
        <w:rPr>
          <w:rFonts w:ascii="Arial" w:hAnsi="Arial"/>
        </w:rPr>
        <w:t xml:space="preserve">différentes </w:t>
      </w:r>
      <w:r w:rsidR="004E464C" w:rsidRPr="1363BA50">
        <w:rPr>
          <w:rFonts w:ascii="Arial" w:hAnsi="Arial"/>
        </w:rPr>
        <w:t xml:space="preserve">catégories, </w:t>
      </w:r>
      <w:r w:rsidR="00C459D9" w:rsidRPr="1363BA50">
        <w:rPr>
          <w:rFonts w:ascii="Arial" w:hAnsi="Arial"/>
        </w:rPr>
        <w:t>un attelage en chape est disponible</w:t>
      </w:r>
      <w:r w:rsidRPr="1363BA50">
        <w:rPr>
          <w:rFonts w:ascii="Arial" w:hAnsi="Arial"/>
        </w:rPr>
        <w:t>. La géométrie optimisée de la tête d'attelage permet de relever facilement la charrue. Pour un large éventail d'utilisations, la charrue est adaptée, selon l'équipement, à une puissance de traction de 140 à 360 ch.</w:t>
      </w:r>
    </w:p>
    <w:p w14:paraId="468A08E1" w14:textId="77777777" w:rsidR="002D4E4B" w:rsidRPr="00FA31EC" w:rsidRDefault="002D4E4B" w:rsidP="28E75155">
      <w:pPr>
        <w:autoSpaceDE w:val="0"/>
        <w:autoSpaceDN w:val="0"/>
        <w:adjustRightInd w:val="0"/>
        <w:spacing w:line="360" w:lineRule="auto"/>
        <w:jc w:val="both"/>
        <w:rPr>
          <w:rFonts w:ascii="Arial" w:hAnsi="Arial" w:cs="Arial"/>
        </w:rPr>
      </w:pPr>
    </w:p>
    <w:p w14:paraId="388381D2" w14:textId="77777777" w:rsidR="00030D4E" w:rsidRPr="0026420E" w:rsidRDefault="129FF44F"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Facile et confortable : le centre de réglage SERVOMATIC</w:t>
      </w:r>
    </w:p>
    <w:p w14:paraId="654B426A" w14:textId="1750F863" w:rsidR="00DB49D3" w:rsidRDefault="43F13C1E" w:rsidP="28E75155">
      <w:pPr>
        <w:autoSpaceDE w:val="0"/>
        <w:autoSpaceDN w:val="0"/>
        <w:adjustRightInd w:val="0"/>
        <w:spacing w:line="360" w:lineRule="auto"/>
        <w:jc w:val="both"/>
        <w:rPr>
          <w:rFonts w:ascii="Arial" w:hAnsi="Arial" w:cs="Arial"/>
        </w:rPr>
      </w:pPr>
      <w:r w:rsidRPr="1363BA50">
        <w:rPr>
          <w:rFonts w:ascii="Arial" w:hAnsi="Arial"/>
        </w:rPr>
        <w:t>Le nouveau centre de réglage SERVOMATIC avec cinématique par parallélogramme rend encore plus simples et plus rapides un réglage correct et l'adaptation aux différents tracteurs. Quelques réglages</w:t>
      </w:r>
      <w:r w:rsidR="007156A5" w:rsidRPr="1363BA50">
        <w:rPr>
          <w:rFonts w:ascii="Arial" w:hAnsi="Arial"/>
        </w:rPr>
        <w:t xml:space="preserve"> s’</w:t>
      </w:r>
      <w:r w:rsidRPr="1363BA50">
        <w:rPr>
          <w:rFonts w:ascii="Arial" w:hAnsi="Arial"/>
        </w:rPr>
        <w:t>effectu</w:t>
      </w:r>
      <w:r w:rsidR="007156A5" w:rsidRPr="1363BA50">
        <w:rPr>
          <w:rFonts w:ascii="Arial" w:hAnsi="Arial"/>
        </w:rPr>
        <w:t>ant</w:t>
      </w:r>
      <w:r w:rsidRPr="1363BA50">
        <w:rPr>
          <w:rFonts w:ascii="Arial" w:hAnsi="Arial"/>
        </w:rPr>
        <w:t xml:space="preserve"> facilement et intuitivement suffisent pour adapter l'aplomb et la largeur du premier corps. La largeur de travail du premier corps peut être réglée confortablement à l'aide de la largeur de la voie intérieure</w:t>
      </w:r>
      <w:r w:rsidR="003F328B" w:rsidRPr="1363BA50">
        <w:rPr>
          <w:rFonts w:ascii="Arial" w:hAnsi="Arial"/>
        </w:rPr>
        <w:t xml:space="preserve"> du tracteur</w:t>
      </w:r>
      <w:r w:rsidRPr="1363BA50">
        <w:rPr>
          <w:rFonts w:ascii="Arial" w:hAnsi="Arial"/>
        </w:rPr>
        <w:t>. Une règle graduée aide à trouver rapidement la bonne position. Un réglage hydraulique est proposé en option. Le bloc de retournement coudé en fonte confère à la SERVO 4000 une large course d'adaptation pour la largeur de travail du premier corps. Pour une grande flexibilité, les voies intérieures de tracteurs sont compatibles de 1 000 à 1 500 </w:t>
      </w:r>
      <w:proofErr w:type="spellStart"/>
      <w:r w:rsidRPr="1363BA50">
        <w:rPr>
          <w:rFonts w:ascii="Arial" w:hAnsi="Arial"/>
        </w:rPr>
        <w:t>mm.</w:t>
      </w:r>
      <w:proofErr w:type="spellEnd"/>
      <w:r w:rsidRPr="1363BA50">
        <w:rPr>
          <w:rFonts w:ascii="Arial" w:hAnsi="Arial"/>
        </w:rPr>
        <w:t xml:space="preserve"> La ligne </w:t>
      </w:r>
      <w:r w:rsidRPr="1363BA50">
        <w:rPr>
          <w:rFonts w:ascii="Arial" w:hAnsi="Arial"/>
        </w:rPr>
        <w:lastRenderedPageBreak/>
        <w:t>de traction de la charrue est préréglée d'usine et n'a pas besoin d'être modifiée. Toutefois, une adaptation reste possible pour des conditions particulières.</w:t>
      </w:r>
    </w:p>
    <w:p w14:paraId="5E1D47DF" w14:textId="3E494078" w:rsidR="00DB49D3" w:rsidRPr="00FA31EC" w:rsidRDefault="00DB49D3" w:rsidP="28E75155">
      <w:pPr>
        <w:autoSpaceDE w:val="0"/>
        <w:autoSpaceDN w:val="0"/>
        <w:adjustRightInd w:val="0"/>
        <w:spacing w:line="360" w:lineRule="auto"/>
        <w:jc w:val="both"/>
        <w:rPr>
          <w:rFonts w:ascii="Arial" w:hAnsi="Arial" w:cs="Arial"/>
        </w:rPr>
      </w:pPr>
    </w:p>
    <w:p w14:paraId="6BB0F360" w14:textId="00E29C86" w:rsidR="00DB49D3" w:rsidRDefault="0CD93B4F" w:rsidP="28E75155">
      <w:pPr>
        <w:autoSpaceDE w:val="0"/>
        <w:autoSpaceDN w:val="0"/>
        <w:adjustRightInd w:val="0"/>
        <w:spacing w:line="360" w:lineRule="auto"/>
        <w:jc w:val="both"/>
        <w:rPr>
          <w:rFonts w:ascii="Arial" w:hAnsi="Arial" w:cs="Arial"/>
        </w:rPr>
      </w:pPr>
      <w:r w:rsidRPr="1363BA50">
        <w:rPr>
          <w:rFonts w:ascii="Arial" w:hAnsi="Arial"/>
        </w:rPr>
        <w:t xml:space="preserve">Sur les charrues SERVO avec réglage hydraulique de la largeur de travail, le premier corps se règle automatiquement en cas de modification de la largeur de travail grâce à la cinématique par parallélogramme. </w:t>
      </w:r>
      <w:r w:rsidR="00B046E3" w:rsidRPr="1363BA50">
        <w:rPr>
          <w:rFonts w:ascii="Arial" w:hAnsi="Arial"/>
        </w:rPr>
        <w:t>L</w:t>
      </w:r>
      <w:r w:rsidRPr="1363BA50">
        <w:rPr>
          <w:rFonts w:ascii="Arial" w:hAnsi="Arial"/>
        </w:rPr>
        <w:t xml:space="preserve">e réglage de la ligne de traction s'effectue </w:t>
      </w:r>
      <w:r w:rsidR="00B046E3" w:rsidRPr="1363BA50">
        <w:rPr>
          <w:rFonts w:ascii="Arial" w:hAnsi="Arial"/>
        </w:rPr>
        <w:t>d</w:t>
      </w:r>
      <w:r w:rsidRPr="1363BA50">
        <w:rPr>
          <w:rFonts w:ascii="Arial" w:hAnsi="Arial"/>
        </w:rPr>
        <w:t>e mêm</w:t>
      </w:r>
      <w:r w:rsidR="00B046E3" w:rsidRPr="1363BA50">
        <w:rPr>
          <w:rFonts w:ascii="Arial" w:hAnsi="Arial"/>
        </w:rPr>
        <w:t>e</w:t>
      </w:r>
      <w:r w:rsidRPr="1363BA50">
        <w:rPr>
          <w:rFonts w:ascii="Arial" w:hAnsi="Arial"/>
        </w:rPr>
        <w:t>, car la charrue s'oriente le long de la ligne de traction tracteur-charrue idéale grâce aux bras inférieurs qui oscillent librement. Le réglage de l'aplomb</w:t>
      </w:r>
      <w:r w:rsidR="0858C2CA" w:rsidRPr="1363BA50">
        <w:rPr>
          <w:rFonts w:ascii="Arial" w:hAnsi="Arial"/>
        </w:rPr>
        <w:t xml:space="preserve"> </w:t>
      </w:r>
      <w:r w:rsidRPr="1363BA50">
        <w:rPr>
          <w:rFonts w:ascii="Arial" w:hAnsi="Arial"/>
        </w:rPr>
        <w:t>se fait avec un tirant protégé dans un guide clos. La bielle intérieure est ainsi parfaitement protégée contre les salissures.</w:t>
      </w:r>
    </w:p>
    <w:p w14:paraId="417EC60D" w14:textId="4139A663" w:rsidR="0050249D" w:rsidRDefault="4C071D52" w:rsidP="28E75155">
      <w:pPr>
        <w:autoSpaceDE w:val="0"/>
        <w:autoSpaceDN w:val="0"/>
        <w:adjustRightInd w:val="0"/>
        <w:spacing w:line="360" w:lineRule="auto"/>
        <w:jc w:val="both"/>
        <w:rPr>
          <w:rFonts w:ascii="Arial" w:hAnsi="Arial" w:cs="Arial"/>
        </w:rPr>
      </w:pPr>
      <w:r>
        <w:rPr>
          <w:rFonts w:ascii="Arial" w:hAnsi="Arial"/>
        </w:rPr>
        <w:t>Sur les charrues PLUS et PLUS NOVA, la largeur de travail peut être adaptée hydrauliquement en fonction des conditions du sol, du résultat de travail souhaité, de la profondeur de travail ou de la puissance du tracteur. La pression de déclenchement de la sécurité contre les pierres NOVA se modifie facilement à l'aide d'un distributeur du tracteur – la pression de déclenchement est de jusqu'à 1 400 kg.</w:t>
      </w:r>
    </w:p>
    <w:p w14:paraId="51D3FDA6" w14:textId="77777777" w:rsidR="002D4E4B" w:rsidRPr="00FA31EC" w:rsidRDefault="002D4E4B" w:rsidP="28E75155">
      <w:pPr>
        <w:autoSpaceDE w:val="0"/>
        <w:autoSpaceDN w:val="0"/>
        <w:adjustRightInd w:val="0"/>
        <w:spacing w:line="360" w:lineRule="auto"/>
        <w:jc w:val="both"/>
        <w:rPr>
          <w:rFonts w:ascii="Arial" w:hAnsi="Arial" w:cs="Arial"/>
        </w:rPr>
      </w:pPr>
    </w:p>
    <w:p w14:paraId="4CB6A04C" w14:textId="77777777" w:rsidR="002D4E4B" w:rsidRPr="00607976" w:rsidRDefault="74318992"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Robustesse et durée de vie</w:t>
      </w:r>
    </w:p>
    <w:p w14:paraId="7D88DCB8" w14:textId="35A3E782" w:rsidR="3C82E9E5" w:rsidRDefault="3C82E9E5" w:rsidP="28E75155">
      <w:pPr>
        <w:spacing w:line="360" w:lineRule="auto"/>
        <w:jc w:val="both"/>
        <w:rPr>
          <w:rFonts w:ascii="Arial" w:hAnsi="Arial" w:cs="Arial"/>
        </w:rPr>
      </w:pPr>
      <w:r>
        <w:rPr>
          <w:rFonts w:ascii="Arial" w:hAnsi="Arial"/>
        </w:rPr>
        <w:t>Afin d'absorber encore mieux les efforts fournis par la charrue au travail, la conception du châssis a été optimisée. L</w:t>
      </w:r>
      <w:r w:rsidR="00B046E3">
        <w:rPr>
          <w:rFonts w:ascii="Arial" w:hAnsi="Arial"/>
        </w:rPr>
        <w:t xml:space="preserve">a poutre </w:t>
      </w:r>
      <w:r>
        <w:rPr>
          <w:rFonts w:ascii="Arial" w:hAnsi="Arial"/>
        </w:rPr>
        <w:t>principal</w:t>
      </w:r>
      <w:r w:rsidR="00B046E3">
        <w:rPr>
          <w:rFonts w:ascii="Arial" w:hAnsi="Arial"/>
        </w:rPr>
        <w:t>e</w:t>
      </w:r>
      <w:r>
        <w:rPr>
          <w:rFonts w:ascii="Arial" w:hAnsi="Arial"/>
        </w:rPr>
        <w:t>, largement dimensionné</w:t>
      </w:r>
      <w:r w:rsidR="00B046E3">
        <w:rPr>
          <w:rFonts w:ascii="Arial" w:hAnsi="Arial"/>
        </w:rPr>
        <w:t>e</w:t>
      </w:r>
      <w:r>
        <w:rPr>
          <w:rFonts w:ascii="Arial" w:hAnsi="Arial"/>
        </w:rPr>
        <w:t xml:space="preserve"> et traversant</w:t>
      </w:r>
      <w:r w:rsidR="00B046E3">
        <w:rPr>
          <w:rFonts w:ascii="Arial" w:hAnsi="Arial"/>
        </w:rPr>
        <w:t>e</w:t>
      </w:r>
      <w:r>
        <w:rPr>
          <w:rFonts w:ascii="Arial" w:hAnsi="Arial"/>
        </w:rPr>
        <w:t>, transfert les forces de traction en douceur sur le cadre de la charrue. Pour une robustesse maximale de la poutre, le nombre de perçages est réduit au minimum. En outre, la conception bien pensée protège tous les points d'usure et les composants. Le bloc de retournement est fabriqué en acier forgé de haute qualité, ce qui garantit une grande stabilité et une longue durée de vie.</w:t>
      </w:r>
    </w:p>
    <w:p w14:paraId="40C9DD49" w14:textId="7102CA6D" w:rsidR="007D17BC" w:rsidRDefault="007D17BC">
      <w:pPr>
        <w:rPr>
          <w:rFonts w:ascii="Arial" w:hAnsi="Arial" w:cs="Arial"/>
          <w:lang w:eastAsia="de-DE"/>
        </w:rPr>
      </w:pPr>
      <w:r>
        <w:rPr>
          <w:rFonts w:ascii="Arial" w:hAnsi="Arial" w:cs="Arial"/>
          <w:lang w:eastAsia="de-DE"/>
        </w:rPr>
        <w:br w:type="page"/>
      </w:r>
    </w:p>
    <w:p w14:paraId="131CAF90" w14:textId="77777777" w:rsidR="006B47EA" w:rsidRPr="00FA31EC" w:rsidRDefault="006B47EA" w:rsidP="28E75155">
      <w:pPr>
        <w:spacing w:line="360" w:lineRule="auto"/>
        <w:jc w:val="both"/>
        <w:rPr>
          <w:rFonts w:ascii="Arial" w:hAnsi="Arial" w:cs="Arial"/>
          <w:lang w:eastAsia="de-DE"/>
        </w:rPr>
      </w:pPr>
    </w:p>
    <w:p w14:paraId="5AA381B6" w14:textId="0FB93F15" w:rsidR="0030323D" w:rsidRPr="0030323D" w:rsidRDefault="58B8CE70"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Conçue pour tout supporter</w:t>
      </w:r>
    </w:p>
    <w:p w14:paraId="17545C4C" w14:textId="5E0286D5" w:rsidR="00681F14" w:rsidRDefault="58B8CE70" w:rsidP="28E75155">
      <w:pPr>
        <w:spacing w:line="360" w:lineRule="auto"/>
        <w:jc w:val="both"/>
        <w:rPr>
          <w:rFonts w:ascii="Arial" w:hAnsi="Arial" w:cs="Arial"/>
        </w:rPr>
      </w:pPr>
      <w:r>
        <w:rPr>
          <w:rFonts w:ascii="Arial" w:hAnsi="Arial"/>
        </w:rPr>
        <w:t xml:space="preserve">La construction robuste, le dispositif de retournement et la sécurité NOVA garantissent une longévité exceptionnelle dans toutes les conditions. Une adaptation de tous les paramètres importants se fait facilement grâce au centre de réglage de conception </w:t>
      </w:r>
      <w:r w:rsidR="00B046E3">
        <w:rPr>
          <w:rFonts w:ascii="Arial" w:hAnsi="Arial"/>
        </w:rPr>
        <w:t>cohérent</w:t>
      </w:r>
      <w:r w:rsidR="00B5790B">
        <w:rPr>
          <w:rFonts w:ascii="Arial" w:hAnsi="Arial"/>
        </w:rPr>
        <w:t>e</w:t>
      </w:r>
      <w:r>
        <w:rPr>
          <w:rFonts w:ascii="Arial" w:hAnsi="Arial"/>
        </w:rPr>
        <w:t>, qui marque des points grâce à sa bonne accessibilité. Un émiettement optimal et une bonne incorporation des résidus assurent un labour propre, essentiel pour la culture suivante et le succès économique.</w:t>
      </w:r>
    </w:p>
    <w:p w14:paraId="0A393B2E" w14:textId="77777777" w:rsidR="00F90FD0" w:rsidRPr="00FA31EC" w:rsidRDefault="00F90FD0" w:rsidP="28E75155">
      <w:pPr>
        <w:spacing w:after="120"/>
        <w:rPr>
          <w:rFonts w:ascii="Arial" w:hAnsi="Arial" w:cs="Arial"/>
          <w:b/>
          <w:bCs/>
        </w:rPr>
      </w:pPr>
    </w:p>
    <w:p w14:paraId="5DCC4521" w14:textId="3B0A33CA" w:rsidR="00A20902" w:rsidRDefault="2770A13B" w:rsidP="28E75155">
      <w:pPr>
        <w:spacing w:after="120"/>
        <w:rPr>
          <w:rFonts w:ascii="Arial" w:hAnsi="Arial" w:cs="Arial"/>
          <w:b/>
          <w:bCs/>
        </w:rPr>
      </w:pPr>
      <w:r>
        <w:rPr>
          <w:rFonts w:ascii="Arial" w:hAnsi="Arial"/>
          <w:b/>
          <w:bCs/>
        </w:rPr>
        <w:t>Aperçu des photos :</w:t>
      </w:r>
    </w:p>
    <w:tbl>
      <w:tblPr>
        <w:tblStyle w:val="Grilledutableau"/>
        <w:tblW w:w="0" w:type="auto"/>
        <w:tblLayout w:type="fixed"/>
        <w:tblLook w:val="04A0" w:firstRow="1" w:lastRow="0" w:firstColumn="1" w:lastColumn="0" w:noHBand="0" w:noVBand="1"/>
      </w:tblPr>
      <w:tblGrid>
        <w:gridCol w:w="4315"/>
        <w:gridCol w:w="4315"/>
      </w:tblGrid>
      <w:tr w:rsidR="00A20902" w14:paraId="0EE65C77" w14:textId="77777777" w:rsidTr="13AA834B">
        <w:tc>
          <w:tcPr>
            <w:tcW w:w="4315" w:type="dxa"/>
            <w:vAlign w:val="center"/>
          </w:tcPr>
          <w:p w14:paraId="065488F5" w14:textId="60326103" w:rsidR="00A20902" w:rsidRPr="00822CE4" w:rsidRDefault="0AB875FB" w:rsidP="13AA834B">
            <w:pPr>
              <w:spacing w:before="120" w:after="120"/>
              <w:jc w:val="center"/>
            </w:pPr>
            <w:r>
              <w:rPr>
                <w:noProof/>
              </w:rPr>
              <w:drawing>
                <wp:inline distT="0" distB="0" distL="0" distR="0" wp14:anchorId="59601B98" wp14:editId="65BD3092">
                  <wp:extent cx="1365161" cy="914400"/>
                  <wp:effectExtent l="0" t="0" r="0" b="0"/>
                  <wp:docPr id="678406091" name="Image 67840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65161" cy="914400"/>
                          </a:xfrm>
                          <a:prstGeom prst="rect">
                            <a:avLst/>
                          </a:prstGeom>
                        </pic:spPr>
                      </pic:pic>
                    </a:graphicData>
                  </a:graphic>
                </wp:inline>
              </w:drawing>
            </w:r>
          </w:p>
        </w:tc>
        <w:tc>
          <w:tcPr>
            <w:tcW w:w="4315" w:type="dxa"/>
            <w:vAlign w:val="center"/>
          </w:tcPr>
          <w:p w14:paraId="28598F97" w14:textId="41A84DF1" w:rsidR="00A20902" w:rsidRDefault="0AB875FB" w:rsidP="13AA834B">
            <w:pPr>
              <w:spacing w:before="120" w:after="120"/>
              <w:jc w:val="center"/>
            </w:pPr>
            <w:r>
              <w:rPr>
                <w:noProof/>
              </w:rPr>
              <w:drawing>
                <wp:inline distT="0" distB="0" distL="0" distR="0" wp14:anchorId="47D52067" wp14:editId="728121C3">
                  <wp:extent cx="1494259" cy="993919"/>
                  <wp:effectExtent l="0" t="0" r="0" b="0"/>
                  <wp:docPr id="1662112006" name="Image 166211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94259" cy="993919"/>
                          </a:xfrm>
                          <a:prstGeom prst="rect">
                            <a:avLst/>
                          </a:prstGeom>
                        </pic:spPr>
                      </pic:pic>
                    </a:graphicData>
                  </a:graphic>
                </wp:inline>
              </w:drawing>
            </w:r>
          </w:p>
        </w:tc>
      </w:tr>
      <w:tr w:rsidR="00A20902" w:rsidRPr="0031371C" w14:paraId="4B54FC26" w14:textId="77777777" w:rsidTr="13AA834B">
        <w:tc>
          <w:tcPr>
            <w:tcW w:w="4315" w:type="dxa"/>
            <w:vAlign w:val="center"/>
          </w:tcPr>
          <w:p w14:paraId="6647F4C7" w14:textId="48A1E1F1" w:rsidR="00A20902" w:rsidRPr="00A20902" w:rsidRDefault="28E75155" w:rsidP="13AA834B">
            <w:pPr>
              <w:spacing w:before="120" w:after="120" w:line="259" w:lineRule="auto"/>
              <w:jc w:val="center"/>
              <w:rPr>
                <w:rFonts w:ascii="Arial" w:hAnsi="Arial" w:cs="Arial"/>
              </w:rPr>
            </w:pPr>
            <w:r w:rsidRPr="13AA834B">
              <w:rPr>
                <w:rFonts w:ascii="Arial" w:hAnsi="Arial"/>
                <w:sz w:val="22"/>
                <w:szCs w:val="22"/>
              </w:rPr>
              <w:t>Le meilleur résultat au travail avec la nouvelle charrue réversible portée SERVO 4000</w:t>
            </w:r>
          </w:p>
        </w:tc>
        <w:tc>
          <w:tcPr>
            <w:tcW w:w="4315" w:type="dxa"/>
            <w:vAlign w:val="center"/>
          </w:tcPr>
          <w:p w14:paraId="71866170" w14:textId="1B73EC65" w:rsidR="00A20902" w:rsidRPr="00A20902" w:rsidRDefault="2770A13B" w:rsidP="13AA834B">
            <w:pPr>
              <w:spacing w:before="120" w:after="120"/>
              <w:jc w:val="center"/>
              <w:rPr>
                <w:rFonts w:ascii="Arial" w:hAnsi="Arial" w:cs="Arial"/>
                <w:sz w:val="22"/>
                <w:szCs w:val="22"/>
              </w:rPr>
            </w:pPr>
            <w:r w:rsidRPr="13AA834B">
              <w:rPr>
                <w:rFonts w:ascii="Arial" w:hAnsi="Arial"/>
                <w:sz w:val="22"/>
                <w:szCs w:val="22"/>
              </w:rPr>
              <w:t>Le centre de réglage SERVOMATIC nouvellement conçu garantit un réglage simple et rapide</w:t>
            </w:r>
          </w:p>
        </w:tc>
      </w:tr>
      <w:tr w:rsidR="00A20902" w:rsidRPr="001B05C5" w14:paraId="07E22897" w14:textId="77777777" w:rsidTr="13AA834B">
        <w:tc>
          <w:tcPr>
            <w:tcW w:w="4315" w:type="dxa"/>
            <w:vAlign w:val="center"/>
          </w:tcPr>
          <w:p w14:paraId="165A1E64" w14:textId="4A14834A" w:rsidR="001B05C5" w:rsidRPr="00FA31EC" w:rsidRDefault="007D17BC" w:rsidP="13AA834B">
            <w:pPr>
              <w:spacing w:before="120" w:after="120"/>
              <w:jc w:val="center"/>
            </w:pPr>
            <w:hyperlink r:id="rId13">
              <w:r w:rsidR="6960DA8B" w:rsidRPr="007D17BC">
                <w:rPr>
                  <w:rStyle w:val="Lienhypertexte"/>
                  <w:rFonts w:ascii="Arial" w:eastAsia="Arial" w:hAnsi="Arial" w:cs="Arial"/>
                  <w:sz w:val="20"/>
                  <w:szCs w:val="20"/>
                </w:rPr>
                <w:t>https://www.poettinger.at/fr_fr/newsroom/pressebild/76275</w:t>
              </w:r>
            </w:hyperlink>
          </w:p>
        </w:tc>
        <w:tc>
          <w:tcPr>
            <w:tcW w:w="4315" w:type="dxa"/>
            <w:vAlign w:val="center"/>
          </w:tcPr>
          <w:p w14:paraId="1A4C9AFA" w14:textId="461642A1" w:rsidR="00A20902" w:rsidRPr="00FA31EC" w:rsidRDefault="007D17BC" w:rsidP="13AA834B">
            <w:pPr>
              <w:spacing w:before="120" w:after="120"/>
              <w:jc w:val="center"/>
            </w:pPr>
            <w:hyperlink r:id="rId14">
              <w:r w:rsidR="6960DA8B" w:rsidRPr="007D17BC">
                <w:rPr>
                  <w:rStyle w:val="Lienhypertexte"/>
                  <w:rFonts w:ascii="Arial" w:eastAsia="Arial" w:hAnsi="Arial" w:cs="Arial"/>
                  <w:sz w:val="20"/>
                  <w:szCs w:val="20"/>
                </w:rPr>
                <w:t>https://www.poettinger.at/fr_fr/newsroom/pressebild/76274</w:t>
              </w:r>
            </w:hyperlink>
          </w:p>
        </w:tc>
      </w:tr>
    </w:tbl>
    <w:p w14:paraId="0A3BCC13" w14:textId="77777777" w:rsidR="00A20902" w:rsidRPr="00FA31EC" w:rsidRDefault="00A20902" w:rsidP="00A20902">
      <w:pPr>
        <w:spacing w:line="360" w:lineRule="auto"/>
        <w:jc w:val="both"/>
      </w:pPr>
    </w:p>
    <w:p w14:paraId="3310B69E" w14:textId="0A92A688"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D'autres photos et images d'illustration sont disponibles sur le site internet de PÖTTINGER à l'adresse :</w:t>
      </w:r>
      <w:r>
        <w:tab/>
      </w:r>
      <w:r>
        <w:tab/>
      </w:r>
      <w:r>
        <w:tab/>
      </w:r>
      <w:r>
        <w:tab/>
      </w:r>
      <w:r>
        <w:br/>
      </w:r>
      <w:hyperlink r:id="rId15" w:history="1">
        <w:r>
          <w:rPr>
            <w:rStyle w:val="Lienhypertexte"/>
            <w:rFonts w:ascii="Arial" w:hAnsi="Arial"/>
            <w:snapToGrid w:val="0"/>
          </w:rPr>
          <w:t>https://www.poettinger.at/fr_fr/services/downloadcenter</w:t>
        </w:r>
      </w:hyperlink>
    </w:p>
    <w:p w14:paraId="233A8A57" w14:textId="77777777" w:rsidR="00A20902" w:rsidRPr="00FA31EC" w:rsidRDefault="00A20902" w:rsidP="00A20902">
      <w:pPr>
        <w:spacing w:line="360" w:lineRule="auto"/>
        <w:jc w:val="both"/>
      </w:pPr>
    </w:p>
    <w:p w14:paraId="1935A039" w14:textId="77777777" w:rsidR="00A20902" w:rsidRPr="00FA31EC" w:rsidRDefault="00A20902" w:rsidP="0030323D">
      <w:pPr>
        <w:spacing w:line="360" w:lineRule="auto"/>
        <w:jc w:val="both"/>
        <w:rPr>
          <w:rFonts w:ascii="Arial" w:hAnsi="Arial" w:cs="Arial"/>
          <w:color w:val="000000"/>
          <w:lang w:eastAsia="de-DE"/>
        </w:rPr>
      </w:pPr>
    </w:p>
    <w:sectPr w:rsidR="00A20902" w:rsidRPr="00FA31EC" w:rsidSect="007D17BC">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59D9" w14:textId="77777777" w:rsidR="000E69DC" w:rsidRDefault="000E69DC">
      <w:r>
        <w:separator/>
      </w:r>
    </w:p>
  </w:endnote>
  <w:endnote w:type="continuationSeparator" w:id="0">
    <w:p w14:paraId="47540E16" w14:textId="77777777" w:rsidR="000E69DC" w:rsidRDefault="000E69DC">
      <w:r>
        <w:continuationSeparator/>
      </w:r>
    </w:p>
  </w:endnote>
  <w:endnote w:type="continuationNotice" w:id="1">
    <w:p w14:paraId="55C378B9" w14:textId="77777777" w:rsidR="000E69DC" w:rsidRDefault="000E6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szCs w:val="18"/>
          </w:rPr>
          <w:t xml:space="preserve">PÖTTINGER </w:t>
        </w:r>
        <w:proofErr w:type="spellStart"/>
        <w:r>
          <w:rPr>
            <w:rFonts w:ascii="Arial" w:hAnsi="Arial"/>
            <w:b/>
            <w:color w:val="808080" w:themeColor="background1" w:themeShade="80"/>
            <w:sz w:val="18"/>
            <w:szCs w:val="18"/>
          </w:rPr>
          <w:t>Landtechnik</w:t>
        </w:r>
        <w:proofErr w:type="spellEnd"/>
        <w:r>
          <w:rPr>
            <w:rFonts w:ascii="Arial" w:hAnsi="Arial"/>
            <w:b/>
            <w:color w:val="808080" w:themeColor="background1" w:themeShade="80"/>
            <w:sz w:val="18"/>
            <w:szCs w:val="18"/>
          </w:rPr>
          <w:t xml:space="preserve"> </w:t>
        </w:r>
        <w:proofErr w:type="spellStart"/>
        <w:r>
          <w:rPr>
            <w:rFonts w:ascii="Arial" w:hAnsi="Arial"/>
            <w:b/>
            <w:color w:val="808080" w:themeColor="background1" w:themeShade="80"/>
            <w:sz w:val="18"/>
            <w:szCs w:val="18"/>
          </w:rPr>
          <w:t>GmbH</w:t>
        </w:r>
        <w:proofErr w:type="spellEnd"/>
        <w:r>
          <w:rPr>
            <w:rFonts w:ascii="Arial" w:hAnsi="Arial"/>
            <w:b/>
            <w:color w:val="808080" w:themeColor="background1" w:themeShade="80"/>
            <w:sz w:val="18"/>
            <w:szCs w:val="18"/>
          </w:rPr>
          <w:t xml:space="preserve"> – Communication d'entreprise</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szCs w:val="18"/>
          </w:rPr>
          <w:t xml:space="preserve">Inge Steibl, </w:t>
        </w:r>
        <w:proofErr w:type="spellStart"/>
        <w:r>
          <w:rPr>
            <w:rFonts w:ascii="Arial" w:hAnsi="Arial"/>
            <w:color w:val="808080" w:themeColor="background1" w:themeShade="80"/>
            <w:sz w:val="18"/>
            <w:szCs w:val="18"/>
          </w:rPr>
          <w:t>Industriegelände</w:t>
        </w:r>
        <w:proofErr w:type="spellEnd"/>
        <w:r>
          <w:rPr>
            <w:rFonts w:ascii="Arial" w:hAnsi="Arial"/>
            <w:color w:val="808080" w:themeColor="background1" w:themeShade="80"/>
            <w:sz w:val="18"/>
            <w:szCs w:val="18"/>
          </w:rPr>
          <w:t xml:space="preserve"> 1, A-4710 Grieskirchen</w:t>
        </w:r>
      </w:p>
      <w:p w14:paraId="4EB4BAB0" w14:textId="5C3A4CEE" w:rsidR="00854222" w:rsidRPr="005A7E57" w:rsidRDefault="0059599A" w:rsidP="0059599A">
        <w:pPr>
          <w:pStyle w:val="Pieddepage"/>
          <w:jc w:val="right"/>
          <w:rPr>
            <w:rFonts w:ascii="Arial" w:hAnsi="Arial" w:cs="Arial"/>
            <w:color w:val="808080" w:themeColor="background1" w:themeShade="80"/>
          </w:rPr>
        </w:pPr>
        <w:r>
          <w:rPr>
            <w:rFonts w:ascii="Arial" w:hAnsi="Arial"/>
            <w:color w:val="808080" w:themeColor="background1" w:themeShade="80"/>
            <w:sz w:val="18"/>
            <w:szCs w:val="18"/>
          </w:rPr>
          <w:t xml:space="preserve">Tél. +43 7248 600-2415, courriel : </w:t>
        </w:r>
        <w:hyperlink r:id="rId1" w:history="1">
          <w:r>
            <w:rPr>
              <w:rFonts w:ascii="Arial" w:hAnsi="Arial"/>
              <w:color w:val="808080" w:themeColor="background1" w:themeShade="80"/>
              <w:sz w:val="18"/>
              <w:szCs w:val="18"/>
            </w:rPr>
            <w:t>inge.steibl@poettinger.at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w:t>
          </w:r>
        </w:hyperlink>
        <w:r>
          <w:rPr>
            <w:rFonts w:ascii="Arial" w:hAnsi="Arial"/>
            <w:color w:val="808080" w:themeColor="background1" w:themeShade="80"/>
            <w:sz w:val="18"/>
            <w:szCs w:val="18"/>
          </w:rPr>
          <w:tab/>
        </w:r>
        <w:r>
          <w:rPr>
            <w:rFonts w:ascii="Arial" w:hAnsi="Arial"/>
            <w:color w:val="808080" w:themeColor="background1" w:themeShade="80"/>
            <w:sz w:val="18"/>
            <w:szCs w:val="18"/>
          </w:rPr>
          <w:tab/>
        </w:r>
        <w:r>
          <w:rPr>
            <w:rFonts w:ascii="Arial" w:hAnsi="Arial"/>
            <w:color w:val="808080" w:themeColor="background1" w:themeShade="80"/>
            <w:sz w:val="18"/>
            <w:szCs w:val="18"/>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color w:val="808080" w:themeColor="background1" w:themeShade="80"/>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37E7" w14:textId="77777777" w:rsidR="000E69DC" w:rsidRDefault="000E69DC">
      <w:r>
        <w:separator/>
      </w:r>
    </w:p>
  </w:footnote>
  <w:footnote w:type="continuationSeparator" w:id="0">
    <w:p w14:paraId="238FB60B" w14:textId="77777777" w:rsidR="000E69DC" w:rsidRDefault="000E69DC">
      <w:r>
        <w:continuationSeparator/>
      </w:r>
    </w:p>
  </w:footnote>
  <w:footnote w:type="continuationNotice" w:id="1">
    <w:p w14:paraId="6357053E" w14:textId="77777777" w:rsidR="000E69DC" w:rsidRDefault="000E6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En-tt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En-tt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Communiqué de presse                                            </w:t>
    </w:r>
  </w:p>
  <w:p w14:paraId="68AAB7B2" w14:textId="77777777" w:rsidR="005B1713" w:rsidRDefault="005B1713" w:rsidP="00BE5587">
    <w:pPr>
      <w:pStyle w:val="En-tte"/>
      <w:tabs>
        <w:tab w:val="clear" w:pos="4320"/>
        <w:tab w:val="left" w:pos="4140"/>
      </w:tabs>
    </w:pPr>
  </w:p>
  <w:p w14:paraId="3960735B" w14:textId="77777777" w:rsidR="009922C4" w:rsidRDefault="009922C4" w:rsidP="00BE5587">
    <w:pPr>
      <w:pStyle w:val="En-tt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8" type="#_x0000_t75" style="width:3in;height:3in" o:bullet="t"/>
    </w:pict>
  </w:numPicBullet>
  <w:numPicBullet w:numPicBulletId="1">
    <w:pict>
      <v:shape id="_x0000_i1489" type="#_x0000_t75" style="width:3in;height:3in" o:bullet="t"/>
    </w:pict>
  </w:numPicBullet>
  <w:numPicBullet w:numPicBulletId="2">
    <w:pict>
      <v:shape id="_x0000_i1490" type="#_x0000_t75" style="width:3in;height:3in" o:bullet="t"/>
    </w:pict>
  </w:numPicBullet>
  <w:numPicBullet w:numPicBulletId="3">
    <w:pict>
      <v:shape id="_x0000_i1491" type="#_x0000_t75" style="width:3in;height:3in" o:bullet="t"/>
    </w:pict>
  </w:numPicBullet>
  <w:numPicBullet w:numPicBulletId="4">
    <w:pict>
      <v:shape id="_x0000_i1492" type="#_x0000_t75" style="width:3in;height:3in" o:bullet="t"/>
    </w:pict>
  </w:numPicBullet>
  <w:numPicBullet w:numPicBulletId="5">
    <w:pict>
      <v:shape id="_x0000_i1493"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863708">
    <w:abstractNumId w:val="6"/>
  </w:num>
  <w:num w:numId="2" w16cid:durableId="564685904">
    <w:abstractNumId w:val="13"/>
  </w:num>
  <w:num w:numId="3" w16cid:durableId="205796646">
    <w:abstractNumId w:val="2"/>
  </w:num>
  <w:num w:numId="4" w16cid:durableId="1839422782">
    <w:abstractNumId w:val="4"/>
  </w:num>
  <w:num w:numId="5" w16cid:durableId="474103565">
    <w:abstractNumId w:val="3"/>
  </w:num>
  <w:num w:numId="6" w16cid:durableId="1677809189">
    <w:abstractNumId w:val="0"/>
    <w:lvlOverride w:ilvl="0">
      <w:lvl w:ilvl="0">
        <w:numFmt w:val="bullet"/>
        <w:lvlText w:val=""/>
        <w:legacy w:legacy="1" w:legacySpace="0" w:legacyIndent="0"/>
        <w:lvlJc w:val="left"/>
        <w:rPr>
          <w:rFonts w:ascii="Symbol" w:hAnsi="Symbol" w:hint="default"/>
          <w:sz w:val="22"/>
        </w:rPr>
      </w:lvl>
    </w:lvlOverride>
  </w:num>
  <w:num w:numId="7" w16cid:durableId="388187269">
    <w:abstractNumId w:val="1"/>
  </w:num>
  <w:num w:numId="8" w16cid:durableId="1628462285">
    <w:abstractNumId w:val="12"/>
  </w:num>
  <w:num w:numId="9" w16cid:durableId="759911078">
    <w:abstractNumId w:val="5"/>
  </w:num>
  <w:num w:numId="10" w16cid:durableId="156728735">
    <w:abstractNumId w:val="11"/>
  </w:num>
  <w:num w:numId="11" w16cid:durableId="2123840911">
    <w:abstractNumId w:val="9"/>
  </w:num>
  <w:num w:numId="12" w16cid:durableId="1607156132">
    <w:abstractNumId w:val="10"/>
  </w:num>
  <w:num w:numId="13" w16cid:durableId="241531505">
    <w:abstractNumId w:val="8"/>
  </w:num>
  <w:num w:numId="14" w16cid:durableId="334769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453A"/>
    <w:rsid w:val="000231FA"/>
    <w:rsid w:val="00027535"/>
    <w:rsid w:val="00030622"/>
    <w:rsid w:val="00030D4E"/>
    <w:rsid w:val="00032EA2"/>
    <w:rsid w:val="000432F3"/>
    <w:rsid w:val="00043441"/>
    <w:rsid w:val="00046809"/>
    <w:rsid w:val="00056DD4"/>
    <w:rsid w:val="00070559"/>
    <w:rsid w:val="00075306"/>
    <w:rsid w:val="00076A17"/>
    <w:rsid w:val="000776EC"/>
    <w:rsid w:val="0008145B"/>
    <w:rsid w:val="00083C0F"/>
    <w:rsid w:val="0008459E"/>
    <w:rsid w:val="0008508C"/>
    <w:rsid w:val="00097DFE"/>
    <w:rsid w:val="000B1D1A"/>
    <w:rsid w:val="000B2825"/>
    <w:rsid w:val="000D1677"/>
    <w:rsid w:val="000E2C9E"/>
    <w:rsid w:val="000E69DC"/>
    <w:rsid w:val="000F7119"/>
    <w:rsid w:val="00100D3B"/>
    <w:rsid w:val="00124864"/>
    <w:rsid w:val="00124A77"/>
    <w:rsid w:val="00135DB8"/>
    <w:rsid w:val="0013620D"/>
    <w:rsid w:val="0014228A"/>
    <w:rsid w:val="0016041B"/>
    <w:rsid w:val="00162FA1"/>
    <w:rsid w:val="001726F4"/>
    <w:rsid w:val="00173712"/>
    <w:rsid w:val="00174F37"/>
    <w:rsid w:val="00180791"/>
    <w:rsid w:val="00181656"/>
    <w:rsid w:val="00185992"/>
    <w:rsid w:val="001976D3"/>
    <w:rsid w:val="001A1BC9"/>
    <w:rsid w:val="001A771E"/>
    <w:rsid w:val="001B05C5"/>
    <w:rsid w:val="001B1C9C"/>
    <w:rsid w:val="001B3BC8"/>
    <w:rsid w:val="001C3FF6"/>
    <w:rsid w:val="001D0EE8"/>
    <w:rsid w:val="001D138B"/>
    <w:rsid w:val="001E40E2"/>
    <w:rsid w:val="001F4409"/>
    <w:rsid w:val="001F77C7"/>
    <w:rsid w:val="00215028"/>
    <w:rsid w:val="00216C68"/>
    <w:rsid w:val="00225219"/>
    <w:rsid w:val="002375A2"/>
    <w:rsid w:val="00247FEA"/>
    <w:rsid w:val="00252533"/>
    <w:rsid w:val="0026420E"/>
    <w:rsid w:val="00267637"/>
    <w:rsid w:val="00285366"/>
    <w:rsid w:val="0028554E"/>
    <w:rsid w:val="002856B1"/>
    <w:rsid w:val="002A16BC"/>
    <w:rsid w:val="002A36F5"/>
    <w:rsid w:val="002B095D"/>
    <w:rsid w:val="002B1B92"/>
    <w:rsid w:val="002B3BAE"/>
    <w:rsid w:val="002C1821"/>
    <w:rsid w:val="002D0A48"/>
    <w:rsid w:val="002D4E4B"/>
    <w:rsid w:val="002D6DC6"/>
    <w:rsid w:val="002D7B0A"/>
    <w:rsid w:val="002D7B8D"/>
    <w:rsid w:val="002E0C86"/>
    <w:rsid w:val="002E1261"/>
    <w:rsid w:val="0030234F"/>
    <w:rsid w:val="0030323D"/>
    <w:rsid w:val="00306B6C"/>
    <w:rsid w:val="00306DB5"/>
    <w:rsid w:val="0031371C"/>
    <w:rsid w:val="003151EB"/>
    <w:rsid w:val="00321B75"/>
    <w:rsid w:val="00322CDF"/>
    <w:rsid w:val="003235B3"/>
    <w:rsid w:val="00326A6B"/>
    <w:rsid w:val="003312E3"/>
    <w:rsid w:val="0035287F"/>
    <w:rsid w:val="00353DFF"/>
    <w:rsid w:val="00366FC0"/>
    <w:rsid w:val="003768D3"/>
    <w:rsid w:val="003779A2"/>
    <w:rsid w:val="003867B4"/>
    <w:rsid w:val="003877DE"/>
    <w:rsid w:val="00387A94"/>
    <w:rsid w:val="00391497"/>
    <w:rsid w:val="003C11FC"/>
    <w:rsid w:val="003D32DF"/>
    <w:rsid w:val="003D6665"/>
    <w:rsid w:val="003E1D60"/>
    <w:rsid w:val="003E2C83"/>
    <w:rsid w:val="003E6BC0"/>
    <w:rsid w:val="003F2496"/>
    <w:rsid w:val="003F328B"/>
    <w:rsid w:val="00400CC5"/>
    <w:rsid w:val="00413495"/>
    <w:rsid w:val="004144D6"/>
    <w:rsid w:val="0041793F"/>
    <w:rsid w:val="00434910"/>
    <w:rsid w:val="00442BF6"/>
    <w:rsid w:val="00451BC6"/>
    <w:rsid w:val="00470DA5"/>
    <w:rsid w:val="004722D3"/>
    <w:rsid w:val="00472555"/>
    <w:rsid w:val="00481E28"/>
    <w:rsid w:val="00484BBB"/>
    <w:rsid w:val="004975B8"/>
    <w:rsid w:val="0049761C"/>
    <w:rsid w:val="004A36BA"/>
    <w:rsid w:val="004A6147"/>
    <w:rsid w:val="004B0317"/>
    <w:rsid w:val="004B1E13"/>
    <w:rsid w:val="004B1EAA"/>
    <w:rsid w:val="004B279E"/>
    <w:rsid w:val="004B78B7"/>
    <w:rsid w:val="004C17FC"/>
    <w:rsid w:val="004C29A1"/>
    <w:rsid w:val="004C4F3B"/>
    <w:rsid w:val="004C77E4"/>
    <w:rsid w:val="004D12C9"/>
    <w:rsid w:val="004D258F"/>
    <w:rsid w:val="004D512C"/>
    <w:rsid w:val="004E4175"/>
    <w:rsid w:val="004E464C"/>
    <w:rsid w:val="004F6D59"/>
    <w:rsid w:val="0050249D"/>
    <w:rsid w:val="00507E50"/>
    <w:rsid w:val="00513582"/>
    <w:rsid w:val="00515B1E"/>
    <w:rsid w:val="00520606"/>
    <w:rsid w:val="005245E3"/>
    <w:rsid w:val="00531516"/>
    <w:rsid w:val="00541A09"/>
    <w:rsid w:val="00543B68"/>
    <w:rsid w:val="00554614"/>
    <w:rsid w:val="00554CA1"/>
    <w:rsid w:val="00562F2B"/>
    <w:rsid w:val="005678A3"/>
    <w:rsid w:val="00572B1F"/>
    <w:rsid w:val="00572CA6"/>
    <w:rsid w:val="00585F97"/>
    <w:rsid w:val="0059599A"/>
    <w:rsid w:val="005A454A"/>
    <w:rsid w:val="005A7E57"/>
    <w:rsid w:val="005B1713"/>
    <w:rsid w:val="005B305B"/>
    <w:rsid w:val="005B45CF"/>
    <w:rsid w:val="005C02F5"/>
    <w:rsid w:val="005C0783"/>
    <w:rsid w:val="005C3B1E"/>
    <w:rsid w:val="005C763E"/>
    <w:rsid w:val="005D626F"/>
    <w:rsid w:val="005E317D"/>
    <w:rsid w:val="005E6531"/>
    <w:rsid w:val="005F0323"/>
    <w:rsid w:val="005F09D0"/>
    <w:rsid w:val="005F3573"/>
    <w:rsid w:val="0060193C"/>
    <w:rsid w:val="0060712E"/>
    <w:rsid w:val="00607976"/>
    <w:rsid w:val="00613F0C"/>
    <w:rsid w:val="0062334F"/>
    <w:rsid w:val="006302F7"/>
    <w:rsid w:val="00630AB6"/>
    <w:rsid w:val="00634A11"/>
    <w:rsid w:val="006373F1"/>
    <w:rsid w:val="00645593"/>
    <w:rsid w:val="006508E3"/>
    <w:rsid w:val="00663834"/>
    <w:rsid w:val="006641DC"/>
    <w:rsid w:val="00672ED8"/>
    <w:rsid w:val="00677556"/>
    <w:rsid w:val="00680160"/>
    <w:rsid w:val="00681F14"/>
    <w:rsid w:val="00684F5B"/>
    <w:rsid w:val="006908D7"/>
    <w:rsid w:val="00695CF3"/>
    <w:rsid w:val="006B0499"/>
    <w:rsid w:val="006B340A"/>
    <w:rsid w:val="006B47EA"/>
    <w:rsid w:val="006B7A22"/>
    <w:rsid w:val="006C20AD"/>
    <w:rsid w:val="006D0D85"/>
    <w:rsid w:val="006D12A9"/>
    <w:rsid w:val="006D391F"/>
    <w:rsid w:val="006D431B"/>
    <w:rsid w:val="006D4FA6"/>
    <w:rsid w:val="006D68BB"/>
    <w:rsid w:val="006E08B7"/>
    <w:rsid w:val="006E499D"/>
    <w:rsid w:val="006E4A42"/>
    <w:rsid w:val="007156A5"/>
    <w:rsid w:val="00716F53"/>
    <w:rsid w:val="00727FEA"/>
    <w:rsid w:val="00750670"/>
    <w:rsid w:val="00757A95"/>
    <w:rsid w:val="00761269"/>
    <w:rsid w:val="00777FE9"/>
    <w:rsid w:val="00787384"/>
    <w:rsid w:val="00793714"/>
    <w:rsid w:val="007B55E4"/>
    <w:rsid w:val="007B7567"/>
    <w:rsid w:val="007C103A"/>
    <w:rsid w:val="007C24A6"/>
    <w:rsid w:val="007C3937"/>
    <w:rsid w:val="007C4726"/>
    <w:rsid w:val="007C4F38"/>
    <w:rsid w:val="007D11B2"/>
    <w:rsid w:val="007D16EF"/>
    <w:rsid w:val="007D17BC"/>
    <w:rsid w:val="007D3A8E"/>
    <w:rsid w:val="007D5AC8"/>
    <w:rsid w:val="007D73AA"/>
    <w:rsid w:val="007E58F2"/>
    <w:rsid w:val="007F0850"/>
    <w:rsid w:val="007F1274"/>
    <w:rsid w:val="007F20A6"/>
    <w:rsid w:val="00802BC4"/>
    <w:rsid w:val="008046FA"/>
    <w:rsid w:val="00804849"/>
    <w:rsid w:val="00810F61"/>
    <w:rsid w:val="00812CE8"/>
    <w:rsid w:val="008131A0"/>
    <w:rsid w:val="0081371C"/>
    <w:rsid w:val="0081635C"/>
    <w:rsid w:val="008168D1"/>
    <w:rsid w:val="00820D67"/>
    <w:rsid w:val="008275D3"/>
    <w:rsid w:val="00835C86"/>
    <w:rsid w:val="0083653D"/>
    <w:rsid w:val="0084120A"/>
    <w:rsid w:val="008423C5"/>
    <w:rsid w:val="00845016"/>
    <w:rsid w:val="00854222"/>
    <w:rsid w:val="00854B16"/>
    <w:rsid w:val="008564F6"/>
    <w:rsid w:val="00863F92"/>
    <w:rsid w:val="00877675"/>
    <w:rsid w:val="00880875"/>
    <w:rsid w:val="008A2B65"/>
    <w:rsid w:val="008A430C"/>
    <w:rsid w:val="008A5D71"/>
    <w:rsid w:val="008B557B"/>
    <w:rsid w:val="008B5D0E"/>
    <w:rsid w:val="008B60E5"/>
    <w:rsid w:val="008C0F7A"/>
    <w:rsid w:val="008C665F"/>
    <w:rsid w:val="008C7489"/>
    <w:rsid w:val="008D096F"/>
    <w:rsid w:val="008D75A3"/>
    <w:rsid w:val="008E6348"/>
    <w:rsid w:val="008F2BCA"/>
    <w:rsid w:val="008F5400"/>
    <w:rsid w:val="00914C35"/>
    <w:rsid w:val="00915E5E"/>
    <w:rsid w:val="00930BEE"/>
    <w:rsid w:val="0093757A"/>
    <w:rsid w:val="00943DD1"/>
    <w:rsid w:val="009472C5"/>
    <w:rsid w:val="00950DF4"/>
    <w:rsid w:val="00951F4D"/>
    <w:rsid w:val="009538A2"/>
    <w:rsid w:val="00970B1C"/>
    <w:rsid w:val="00983941"/>
    <w:rsid w:val="00991D8C"/>
    <w:rsid w:val="009922C4"/>
    <w:rsid w:val="00994E6D"/>
    <w:rsid w:val="009A0CA2"/>
    <w:rsid w:val="009A21E4"/>
    <w:rsid w:val="009A6545"/>
    <w:rsid w:val="009B2A29"/>
    <w:rsid w:val="009B3EAF"/>
    <w:rsid w:val="009B653A"/>
    <w:rsid w:val="009B78F5"/>
    <w:rsid w:val="009C4426"/>
    <w:rsid w:val="009D1A18"/>
    <w:rsid w:val="009D1FE3"/>
    <w:rsid w:val="009E524C"/>
    <w:rsid w:val="009F0105"/>
    <w:rsid w:val="009F3652"/>
    <w:rsid w:val="00A0252A"/>
    <w:rsid w:val="00A05561"/>
    <w:rsid w:val="00A06B36"/>
    <w:rsid w:val="00A1175D"/>
    <w:rsid w:val="00A20902"/>
    <w:rsid w:val="00A35A6E"/>
    <w:rsid w:val="00A431E0"/>
    <w:rsid w:val="00A456F4"/>
    <w:rsid w:val="00A45CDC"/>
    <w:rsid w:val="00A61530"/>
    <w:rsid w:val="00A66593"/>
    <w:rsid w:val="00A747A2"/>
    <w:rsid w:val="00A82336"/>
    <w:rsid w:val="00A93883"/>
    <w:rsid w:val="00AA53E3"/>
    <w:rsid w:val="00AA61F9"/>
    <w:rsid w:val="00AA6D1D"/>
    <w:rsid w:val="00AA6F0F"/>
    <w:rsid w:val="00AB4A12"/>
    <w:rsid w:val="00AC3F9A"/>
    <w:rsid w:val="00AC7AD0"/>
    <w:rsid w:val="00AC7B38"/>
    <w:rsid w:val="00AD0E0B"/>
    <w:rsid w:val="00AE17FB"/>
    <w:rsid w:val="00AE2D3C"/>
    <w:rsid w:val="00AF093E"/>
    <w:rsid w:val="00AF6787"/>
    <w:rsid w:val="00B046E3"/>
    <w:rsid w:val="00B255B1"/>
    <w:rsid w:val="00B33A4A"/>
    <w:rsid w:val="00B40E70"/>
    <w:rsid w:val="00B55D4F"/>
    <w:rsid w:val="00B5790B"/>
    <w:rsid w:val="00B74E89"/>
    <w:rsid w:val="00B83850"/>
    <w:rsid w:val="00B91801"/>
    <w:rsid w:val="00B94227"/>
    <w:rsid w:val="00BA2553"/>
    <w:rsid w:val="00BB434E"/>
    <w:rsid w:val="00BB5E3E"/>
    <w:rsid w:val="00BC5D17"/>
    <w:rsid w:val="00BC746D"/>
    <w:rsid w:val="00BD1CD1"/>
    <w:rsid w:val="00BE5587"/>
    <w:rsid w:val="00BF7B38"/>
    <w:rsid w:val="00C05B8A"/>
    <w:rsid w:val="00C06232"/>
    <w:rsid w:val="00C12EB1"/>
    <w:rsid w:val="00C23CE0"/>
    <w:rsid w:val="00C24B95"/>
    <w:rsid w:val="00C25C5C"/>
    <w:rsid w:val="00C2601A"/>
    <w:rsid w:val="00C30933"/>
    <w:rsid w:val="00C333BE"/>
    <w:rsid w:val="00C34F60"/>
    <w:rsid w:val="00C37194"/>
    <w:rsid w:val="00C459D9"/>
    <w:rsid w:val="00C51F95"/>
    <w:rsid w:val="00C52DED"/>
    <w:rsid w:val="00C75690"/>
    <w:rsid w:val="00C76BFA"/>
    <w:rsid w:val="00C837F6"/>
    <w:rsid w:val="00C90560"/>
    <w:rsid w:val="00C963A4"/>
    <w:rsid w:val="00C9682C"/>
    <w:rsid w:val="00CA547C"/>
    <w:rsid w:val="00CB2737"/>
    <w:rsid w:val="00CB2DF6"/>
    <w:rsid w:val="00CD6AD1"/>
    <w:rsid w:val="00CE39E2"/>
    <w:rsid w:val="00CE5D1E"/>
    <w:rsid w:val="00CE6A11"/>
    <w:rsid w:val="00CE79DC"/>
    <w:rsid w:val="00CE7B44"/>
    <w:rsid w:val="00CF157C"/>
    <w:rsid w:val="00D025DD"/>
    <w:rsid w:val="00D06AF1"/>
    <w:rsid w:val="00D15BA8"/>
    <w:rsid w:val="00D21FC8"/>
    <w:rsid w:val="00D30FE4"/>
    <w:rsid w:val="00D367DC"/>
    <w:rsid w:val="00D3738E"/>
    <w:rsid w:val="00D42343"/>
    <w:rsid w:val="00D45400"/>
    <w:rsid w:val="00D62BF4"/>
    <w:rsid w:val="00D636B9"/>
    <w:rsid w:val="00D7317C"/>
    <w:rsid w:val="00D81B36"/>
    <w:rsid w:val="00D90631"/>
    <w:rsid w:val="00D93B1D"/>
    <w:rsid w:val="00D949DB"/>
    <w:rsid w:val="00D96D5A"/>
    <w:rsid w:val="00DA2775"/>
    <w:rsid w:val="00DB49D3"/>
    <w:rsid w:val="00DB63D7"/>
    <w:rsid w:val="00DC3378"/>
    <w:rsid w:val="00DD04A1"/>
    <w:rsid w:val="00DD29C2"/>
    <w:rsid w:val="00DE0793"/>
    <w:rsid w:val="00DE13D4"/>
    <w:rsid w:val="00DF1263"/>
    <w:rsid w:val="00E00A61"/>
    <w:rsid w:val="00E0104A"/>
    <w:rsid w:val="00E038F4"/>
    <w:rsid w:val="00E04060"/>
    <w:rsid w:val="00E102A6"/>
    <w:rsid w:val="00E11771"/>
    <w:rsid w:val="00E1280C"/>
    <w:rsid w:val="00E13CAB"/>
    <w:rsid w:val="00E17A37"/>
    <w:rsid w:val="00E366CE"/>
    <w:rsid w:val="00E3682C"/>
    <w:rsid w:val="00E37228"/>
    <w:rsid w:val="00E520C8"/>
    <w:rsid w:val="00E65487"/>
    <w:rsid w:val="00E6586B"/>
    <w:rsid w:val="00E71C07"/>
    <w:rsid w:val="00E7755E"/>
    <w:rsid w:val="00E87427"/>
    <w:rsid w:val="00E91D19"/>
    <w:rsid w:val="00E94912"/>
    <w:rsid w:val="00E94D54"/>
    <w:rsid w:val="00E956F3"/>
    <w:rsid w:val="00EA1AC2"/>
    <w:rsid w:val="00EB1277"/>
    <w:rsid w:val="00EB162C"/>
    <w:rsid w:val="00EB23AF"/>
    <w:rsid w:val="00EB500B"/>
    <w:rsid w:val="00EC0AE0"/>
    <w:rsid w:val="00EC1ED7"/>
    <w:rsid w:val="00ED0A65"/>
    <w:rsid w:val="00EE0510"/>
    <w:rsid w:val="00EE22E9"/>
    <w:rsid w:val="00EE2DBD"/>
    <w:rsid w:val="00F327A3"/>
    <w:rsid w:val="00F35672"/>
    <w:rsid w:val="00F42F8A"/>
    <w:rsid w:val="00F449DB"/>
    <w:rsid w:val="00F4652F"/>
    <w:rsid w:val="00F46A0B"/>
    <w:rsid w:val="00F505EE"/>
    <w:rsid w:val="00F512DD"/>
    <w:rsid w:val="00F73E25"/>
    <w:rsid w:val="00F744B3"/>
    <w:rsid w:val="00F82200"/>
    <w:rsid w:val="00F85DA5"/>
    <w:rsid w:val="00F90FD0"/>
    <w:rsid w:val="00F97C85"/>
    <w:rsid w:val="00FA018B"/>
    <w:rsid w:val="00FA2C04"/>
    <w:rsid w:val="00FA31EC"/>
    <w:rsid w:val="00FA37AC"/>
    <w:rsid w:val="00FC05CD"/>
    <w:rsid w:val="00FC087E"/>
    <w:rsid w:val="00FD0A18"/>
    <w:rsid w:val="020E7D4D"/>
    <w:rsid w:val="03C0453B"/>
    <w:rsid w:val="05F6A7AD"/>
    <w:rsid w:val="062F71A8"/>
    <w:rsid w:val="07C3161E"/>
    <w:rsid w:val="0858C2CA"/>
    <w:rsid w:val="08B38E66"/>
    <w:rsid w:val="08E83B7A"/>
    <w:rsid w:val="0A2B36C5"/>
    <w:rsid w:val="0A398115"/>
    <w:rsid w:val="0AB875FB"/>
    <w:rsid w:val="0AC9FD83"/>
    <w:rsid w:val="0AD7011F"/>
    <w:rsid w:val="0B63B4CA"/>
    <w:rsid w:val="0C3C660B"/>
    <w:rsid w:val="0CD93B4F"/>
    <w:rsid w:val="0DB4E9D6"/>
    <w:rsid w:val="0EF339D5"/>
    <w:rsid w:val="0FC4542F"/>
    <w:rsid w:val="11C7E9EF"/>
    <w:rsid w:val="125370EC"/>
    <w:rsid w:val="129FF44F"/>
    <w:rsid w:val="12D18559"/>
    <w:rsid w:val="1363BA50"/>
    <w:rsid w:val="13AA834B"/>
    <w:rsid w:val="142DC03C"/>
    <w:rsid w:val="14A2F518"/>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4A2ADE"/>
    <w:rsid w:val="20647774"/>
    <w:rsid w:val="20A7677E"/>
    <w:rsid w:val="219980F9"/>
    <w:rsid w:val="22418E67"/>
    <w:rsid w:val="228ADD13"/>
    <w:rsid w:val="2383F767"/>
    <w:rsid w:val="2399B7B7"/>
    <w:rsid w:val="23DB8269"/>
    <w:rsid w:val="23DD5EC8"/>
    <w:rsid w:val="24CAC4BE"/>
    <w:rsid w:val="251D9C01"/>
    <w:rsid w:val="25528B96"/>
    <w:rsid w:val="25792F29"/>
    <w:rsid w:val="2595E920"/>
    <w:rsid w:val="26129C66"/>
    <w:rsid w:val="26C4EE05"/>
    <w:rsid w:val="2770A13B"/>
    <w:rsid w:val="2827D1BB"/>
    <w:rsid w:val="28B0CFEB"/>
    <w:rsid w:val="28E05E0F"/>
    <w:rsid w:val="28E75155"/>
    <w:rsid w:val="2A071E3C"/>
    <w:rsid w:val="2CD9A4E8"/>
    <w:rsid w:val="2DC02E73"/>
    <w:rsid w:val="2DFA00CE"/>
    <w:rsid w:val="2E648811"/>
    <w:rsid w:val="2F437B2E"/>
    <w:rsid w:val="2F53EB8F"/>
    <w:rsid w:val="304E64D8"/>
    <w:rsid w:val="30C3CF56"/>
    <w:rsid w:val="328F8FBA"/>
    <w:rsid w:val="3523E14C"/>
    <w:rsid w:val="361AD6C3"/>
    <w:rsid w:val="36A895D9"/>
    <w:rsid w:val="383DB137"/>
    <w:rsid w:val="38528AF5"/>
    <w:rsid w:val="3C2EB605"/>
    <w:rsid w:val="3C3A89E0"/>
    <w:rsid w:val="3C82E9E5"/>
    <w:rsid w:val="3CDBCAB0"/>
    <w:rsid w:val="3E57DA35"/>
    <w:rsid w:val="3ED4837E"/>
    <w:rsid w:val="3FFC05A2"/>
    <w:rsid w:val="406AE17A"/>
    <w:rsid w:val="40B3842E"/>
    <w:rsid w:val="42D3B50C"/>
    <w:rsid w:val="4379D15B"/>
    <w:rsid w:val="43DA925D"/>
    <w:rsid w:val="43EBFB57"/>
    <w:rsid w:val="43F13C1E"/>
    <w:rsid w:val="44A5966B"/>
    <w:rsid w:val="457CAAE6"/>
    <w:rsid w:val="46AD3598"/>
    <w:rsid w:val="47187B47"/>
    <w:rsid w:val="47966D75"/>
    <w:rsid w:val="47C8436A"/>
    <w:rsid w:val="47D0FA3E"/>
    <w:rsid w:val="47F64839"/>
    <w:rsid w:val="48801D11"/>
    <w:rsid w:val="4A2E4296"/>
    <w:rsid w:val="4A4FE1E0"/>
    <w:rsid w:val="4AD815FD"/>
    <w:rsid w:val="4B793983"/>
    <w:rsid w:val="4C071D52"/>
    <w:rsid w:val="4CD4C2AF"/>
    <w:rsid w:val="4D157A3F"/>
    <w:rsid w:val="4D2F59BD"/>
    <w:rsid w:val="4D99B616"/>
    <w:rsid w:val="4E9310BE"/>
    <w:rsid w:val="52105F66"/>
    <w:rsid w:val="52DCDE05"/>
    <w:rsid w:val="534F2023"/>
    <w:rsid w:val="542DF0EA"/>
    <w:rsid w:val="55025242"/>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60DA8B"/>
    <w:rsid w:val="69E2FEB1"/>
    <w:rsid w:val="6A3F9DF2"/>
    <w:rsid w:val="6BF3EC79"/>
    <w:rsid w:val="6C9C7BBB"/>
    <w:rsid w:val="6CD96C0E"/>
    <w:rsid w:val="6D561519"/>
    <w:rsid w:val="6D62125B"/>
    <w:rsid w:val="6DC73A6D"/>
    <w:rsid w:val="6E156645"/>
    <w:rsid w:val="6F45F348"/>
    <w:rsid w:val="6FC770EF"/>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95"/>
    <w:rPr>
      <w:sz w:val="24"/>
      <w:szCs w:val="24"/>
      <w:lang w:eastAsia="en-US"/>
    </w:rPr>
  </w:style>
  <w:style w:type="paragraph" w:styleId="Titre1">
    <w:name w:val="heading 1"/>
    <w:basedOn w:val="Normal"/>
    <w:next w:val="Normal"/>
    <w:qFormat/>
    <w:rsid w:val="00B40E70"/>
    <w:pPr>
      <w:keepNext/>
      <w:spacing w:before="240" w:after="60"/>
      <w:outlineLvl w:val="0"/>
    </w:pPr>
    <w:rPr>
      <w:rFonts w:ascii="Arial" w:hAnsi="Arial"/>
      <w:b/>
      <w:bCs/>
      <w:kern w:val="32"/>
      <w:sz w:val="32"/>
      <w:szCs w:val="32"/>
    </w:rPr>
  </w:style>
  <w:style w:type="paragraph" w:styleId="Titre2">
    <w:name w:val="heading 2"/>
    <w:basedOn w:val="Normal"/>
    <w:next w:val="Normal"/>
    <w:qFormat/>
    <w:rsid w:val="00BE5587"/>
    <w:pPr>
      <w:keepNext/>
      <w:jc w:val="center"/>
      <w:outlineLvl w:val="1"/>
    </w:pPr>
    <w:rPr>
      <w:rFonts w:ascii="Arial" w:hAnsi="Arial"/>
      <w:b/>
      <w:sz w:val="26"/>
      <w:szCs w:val="20"/>
    </w:rPr>
  </w:style>
  <w:style w:type="paragraph" w:styleId="Titre5">
    <w:name w:val="heading 5"/>
    <w:basedOn w:val="Normal"/>
    <w:next w:val="Normal"/>
    <w:qFormat/>
    <w:rsid w:val="00BE5587"/>
    <w:pPr>
      <w:keepNext/>
      <w:jc w:val="center"/>
      <w:outlineLvl w:val="4"/>
    </w:pPr>
    <w:rPr>
      <w:rFonts w:ascii="Arial" w:hAnsi="Arial"/>
      <w:sz w:val="72"/>
      <w:szCs w:val="20"/>
    </w:rPr>
  </w:style>
  <w:style w:type="paragraph" w:styleId="Titre6">
    <w:name w:val="heading 6"/>
    <w:basedOn w:val="Normal"/>
    <w:next w:val="Normal"/>
    <w:qFormat/>
    <w:rsid w:val="00BE5587"/>
    <w:pPr>
      <w:keepNext/>
      <w:outlineLvl w:val="5"/>
    </w:pPr>
    <w:rPr>
      <w:rFonts w:ascii="Arial" w:hAnsi="Arial"/>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after="120" w:line="480" w:lineRule="auto"/>
    </w:pPr>
    <w:rPr>
      <w:sz w:val="20"/>
      <w:szCs w:val="20"/>
    </w:rPr>
  </w:style>
  <w:style w:type="paragraph" w:styleId="Corpsdetexte3">
    <w:name w:val="Body Text 3"/>
    <w:basedOn w:val="Normal"/>
    <w:rsid w:val="00BE5587"/>
    <w:pPr>
      <w:spacing w:after="120"/>
    </w:pPr>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fr-FR"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762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7627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FE5F3-24E8-4E0F-849E-A9990AD6AB75}">
  <ds:schemaRefs>
    <ds:schemaRef ds:uri="http://schemas.microsoft.com/office/2006/metadata/properties"/>
    <ds:schemaRef ds:uri="http://www.w3.org/2000/xmlns/"/>
    <ds:schemaRef ds:uri="ffa3695f-fc9d-43a0-9b89-e443cfa54e9f"/>
    <ds:schemaRef ds:uri="http://www.w3.org/2001/XMLSchema-instance"/>
    <ds:schemaRef ds:uri="0c9fabd4-836a-42ce-ab3b-240b75e507cf"/>
    <ds:schemaRef ds:uri="http://schemas.microsoft.com/office/infopath/2007/PartnerControls"/>
  </ds:schemaRefs>
</ds:datastoreItem>
</file>

<file path=customXml/itemProps2.xml><?xml version="1.0" encoding="utf-8"?>
<ds:datastoreItem xmlns:ds="http://schemas.openxmlformats.org/officeDocument/2006/customXml" ds:itemID="{317F061B-A177-4D84-A2DC-88C46ED3505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FDD62F8F-1FF3-4219-9B88-67BDE50D6997}">
  <ds:schemaRefs>
    <ds:schemaRef ds:uri="http://schemas.microsoft.com/office/2006/metadata/contentType"/>
    <ds:schemaRef ds:uri="http://schemas.microsoft.com/office/2006/metadata/properties/metaAttributes"/>
    <ds:schemaRef ds:uri="http://www.w3.org/2000/xmlns/"/>
    <ds:schemaRef ds:uri="http://www.w3.org/2001/XMLSchema"/>
    <ds:schemaRef ds:uri="0c9fabd4-836a-42ce-ab3b-240b75e507cf"/>
    <ds:schemaRef ds:uri="ffa3695f-fc9d-43a0-9b89-e443cfa54e9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5499</Characters>
  <Application>Microsoft Office Word</Application>
  <DocSecurity>0</DocSecurity>
  <Lines>45</Lines>
  <Paragraphs>12</Paragraphs>
  <ScaleCrop>false</ScaleCrop>
  <Company>PÖTTINGER Landtechnik GmbH</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4000</dc:title>
  <dc:creator>steiing</dc:creator>
  <cp:lastModifiedBy>Dutter Dorothee</cp:lastModifiedBy>
  <cp:revision>25</cp:revision>
  <cp:lastPrinted>2022-09-07T06:52:00Z</cp:lastPrinted>
  <dcterms:created xsi:type="dcterms:W3CDTF">2022-09-07T07:16:00Z</dcterms:created>
  <dcterms:modified xsi:type="dcterms:W3CDTF">2022-10-03T15:13:00Z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ies>
</file>