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5597" w14:textId="7A9EF85A" w:rsidR="00BF72A9" w:rsidRPr="00C712DA" w:rsidRDefault="00C712DA" w:rsidP="28E75155">
      <w:pPr>
        <w:autoSpaceDE w:val="0"/>
        <w:autoSpaceDN w:val="0"/>
        <w:adjustRightInd w:val="0"/>
        <w:spacing w:line="360" w:lineRule="auto"/>
        <w:jc w:val="both"/>
        <w:rPr>
          <w:rFonts w:ascii="Arial" w:hAnsi="Arial" w:cs="Arial"/>
          <w:color w:val="000000" w:themeColor="text1"/>
          <w:sz w:val="44"/>
          <w:szCs w:val="44"/>
        </w:rPr>
      </w:pPr>
      <w:r w:rsidRPr="00C712DA">
        <w:rPr>
          <w:rFonts w:ascii="Arial" w:hAnsi="Arial"/>
          <w:color w:val="000000" w:themeColor="text1"/>
          <w:sz w:val="44"/>
          <w:szCs w:val="44"/>
        </w:rPr>
        <w:t xml:space="preserve">Charrue </w:t>
      </w:r>
      <w:r w:rsidR="00BF72A9" w:rsidRPr="00C712DA">
        <w:rPr>
          <w:rFonts w:ascii="Arial" w:hAnsi="Arial"/>
          <w:b/>
          <w:bCs/>
          <w:color w:val="000000" w:themeColor="text1"/>
          <w:sz w:val="44"/>
          <w:szCs w:val="44"/>
        </w:rPr>
        <w:t>SERVO T 6000</w:t>
      </w:r>
      <w:r w:rsidR="00BF72A9" w:rsidRPr="00C712DA">
        <w:rPr>
          <w:rFonts w:ascii="Arial" w:hAnsi="Arial"/>
          <w:color w:val="000000" w:themeColor="text1"/>
          <w:sz w:val="44"/>
          <w:szCs w:val="44"/>
        </w:rPr>
        <w:t>, parée pour le labour hors-raie</w:t>
      </w:r>
    </w:p>
    <w:p w14:paraId="5C611DF4" w14:textId="742CE151" w:rsidR="00124864" w:rsidRDefault="00994EA7" w:rsidP="28E75155">
      <w:pPr>
        <w:autoSpaceDE w:val="0"/>
        <w:autoSpaceDN w:val="0"/>
        <w:adjustRightInd w:val="0"/>
        <w:spacing w:line="360" w:lineRule="auto"/>
        <w:jc w:val="both"/>
        <w:rPr>
          <w:rFonts w:ascii="Arial" w:hAnsi="Arial" w:cs="Arial"/>
          <w:sz w:val="32"/>
          <w:szCs w:val="32"/>
        </w:rPr>
      </w:pPr>
      <w:r>
        <w:rPr>
          <w:rFonts w:ascii="Arial" w:hAnsi="Arial"/>
          <w:sz w:val="32"/>
          <w:szCs w:val="32"/>
        </w:rPr>
        <w:t>La charrue semi-portée réversible PÖTTINGER sort du sillon et entre dans le vif du sujet</w:t>
      </w:r>
    </w:p>
    <w:p w14:paraId="248DFD04" w14:textId="77777777" w:rsidR="00F937A4" w:rsidRPr="00C712DA" w:rsidRDefault="00F937A4" w:rsidP="00F937A4">
      <w:pPr>
        <w:spacing w:line="360" w:lineRule="auto"/>
        <w:jc w:val="both"/>
        <w:rPr>
          <w:rFonts w:ascii="Arial" w:hAnsi="Arial" w:cs="Arial"/>
        </w:rPr>
      </w:pPr>
    </w:p>
    <w:p w14:paraId="302CFDDC" w14:textId="3DF229BF" w:rsidR="00F937A4" w:rsidRPr="00F937A4" w:rsidRDefault="00F937A4" w:rsidP="00F937A4">
      <w:pPr>
        <w:spacing w:line="360" w:lineRule="auto"/>
        <w:jc w:val="both"/>
        <w:rPr>
          <w:rFonts w:ascii="Arial" w:hAnsi="Arial" w:cs="Arial"/>
        </w:rPr>
      </w:pPr>
      <w:r>
        <w:rPr>
          <w:rFonts w:ascii="Arial" w:hAnsi="Arial"/>
        </w:rPr>
        <w:t>Le fabricant de matériels agricoles PÖTTINGER ajoute un élément important aux options d'équipement de la SERVO T 6000. Avec le kit d'équipement pour le labour hors raie, la charrue réversible semi-portée pour tracteurs d'une puissance allant jusqu'à 500 ch</w:t>
      </w:r>
      <w:r w:rsidR="00C712DA">
        <w:rPr>
          <w:rFonts w:ascii="Arial" w:hAnsi="Arial"/>
        </w:rPr>
        <w:t>.</w:t>
      </w:r>
      <w:r>
        <w:rPr>
          <w:rFonts w:ascii="Arial" w:hAnsi="Arial"/>
        </w:rPr>
        <w:t xml:space="preserve"> gagne encore en flexibilité d'utilisation. Il suffit d'un tour de main pour passer du labour classique dans la raie au labour hors raie. Il est ainsi possible d'utiliser des tracteurs à pneus larges, à pneus jumelés et à chenilles pour une transmission efficace de la puissance, tout en limitant l'impact sur le sol. Néanmoins, si les conditions ne le permettent pas, le système de retournement permet toujours de labourer dans la raie.</w:t>
      </w:r>
    </w:p>
    <w:p w14:paraId="4BBBCD5B" w14:textId="0A01FB72" w:rsidR="00640928" w:rsidRPr="00C712DA" w:rsidRDefault="00640928" w:rsidP="00CC430B">
      <w:pPr>
        <w:spacing w:line="360" w:lineRule="auto"/>
        <w:jc w:val="both"/>
        <w:rPr>
          <w:rFonts w:ascii="Arial" w:hAnsi="Arial" w:cs="Arial"/>
          <w:sz w:val="18"/>
          <w:szCs w:val="18"/>
        </w:rPr>
      </w:pPr>
    </w:p>
    <w:p w14:paraId="02F2F17C" w14:textId="1EA90163" w:rsidR="000833EA" w:rsidRDefault="000833EA" w:rsidP="000833EA">
      <w:pPr>
        <w:spacing w:line="360" w:lineRule="auto"/>
        <w:jc w:val="both"/>
        <w:rPr>
          <w:rFonts w:ascii="Arial" w:hAnsi="Arial"/>
        </w:rPr>
      </w:pPr>
      <w:r w:rsidRPr="499AF727">
        <w:rPr>
          <w:rFonts w:ascii="Arial" w:hAnsi="Arial"/>
        </w:rPr>
        <w:t xml:space="preserve">Le passage entre le labour dans la raie et le labour hors de la raie en cas de changement des conditions se fait en peu de temps et en quelques étapes. Grâce au bras oscillant On-Land à pivotement hydraulique, le châssis de la SERVO T 6000 est poussé vers l'extérieur pour que la trajectoire de la charrue soit centrée derrière le tracteur. Il peut ainsi être utilisé avec des tracteurs d'une largeur extérieure allant jusqu'à 4 m </w:t>
      </w:r>
      <w:r w:rsidRPr="00CA5829">
        <w:rPr>
          <w:rFonts w:ascii="Arial" w:hAnsi="Arial"/>
        </w:rPr>
        <w:t>et offre suffisamment de place pour des pneus jumelés et des chenilles. Pour garantir un guidage en profondeur constant lors du labour hors raie, une roue de jauge optionnelle située</w:t>
      </w:r>
      <w:r w:rsidR="76AEF26E" w:rsidRPr="00CA5829">
        <w:rPr>
          <w:rFonts w:ascii="Arial" w:hAnsi="Arial"/>
        </w:rPr>
        <w:t xml:space="preserve"> au niveau du premier corps</w:t>
      </w:r>
      <w:r w:rsidRPr="00CA5829">
        <w:rPr>
          <w:rFonts w:ascii="Arial" w:hAnsi="Arial"/>
        </w:rPr>
        <w:t xml:space="preserve"> de la charrue</w:t>
      </w:r>
      <w:r w:rsidRPr="499AF727">
        <w:rPr>
          <w:rFonts w:ascii="Arial" w:hAnsi="Arial"/>
        </w:rPr>
        <w:t xml:space="preserve"> vient en complément et guide ainsi précisément la profondeur de travail. La roue de jauge pendulaire est économe en place car elle est placée à l'intérieur du châssis. Grâce à une conception hydraulique intelligente, aucun distributeur supplémentaire n'est nécessaire pour les mécanismes de réglage hydrauliques.</w:t>
      </w:r>
    </w:p>
    <w:p w14:paraId="36A1F124" w14:textId="77777777" w:rsidR="00C712DA" w:rsidRPr="00C712DA" w:rsidRDefault="00C712DA" w:rsidP="000833EA">
      <w:pPr>
        <w:spacing w:line="360" w:lineRule="auto"/>
        <w:jc w:val="both"/>
        <w:rPr>
          <w:rFonts w:ascii="Arial" w:hAnsi="Arial" w:cs="Arial"/>
          <w:sz w:val="18"/>
          <w:szCs w:val="18"/>
        </w:rPr>
      </w:pPr>
    </w:p>
    <w:p w14:paraId="0917E802" w14:textId="1F179932" w:rsidR="00C712DA" w:rsidRDefault="00C712DA">
      <w:pPr>
        <w:rPr>
          <w:rFonts w:ascii="Arial" w:hAnsi="Arial" w:cs="Arial"/>
        </w:rPr>
      </w:pPr>
      <w:r>
        <w:rPr>
          <w:rFonts w:ascii="Arial" w:hAnsi="Arial" w:cs="Arial"/>
        </w:rPr>
        <w:br w:type="page"/>
      </w:r>
    </w:p>
    <w:p w14:paraId="0EFF911A" w14:textId="77777777" w:rsidR="00FF6B9C" w:rsidRPr="00C63D84" w:rsidRDefault="00FF6B9C" w:rsidP="00FF6B9C">
      <w:pPr>
        <w:spacing w:line="360" w:lineRule="auto"/>
        <w:jc w:val="both"/>
        <w:rPr>
          <w:rFonts w:ascii="Arial" w:hAnsi="Arial" w:cs="Arial"/>
          <w:b/>
          <w:bCs/>
        </w:rPr>
      </w:pPr>
      <w:r>
        <w:rPr>
          <w:rFonts w:ascii="Arial" w:hAnsi="Arial"/>
          <w:b/>
          <w:bCs/>
        </w:rPr>
        <w:lastRenderedPageBreak/>
        <w:t>Ménage le sol</w:t>
      </w:r>
    </w:p>
    <w:p w14:paraId="2B2F7D7E" w14:textId="29474236" w:rsidR="00245201" w:rsidRPr="00245201" w:rsidRDefault="00245201" w:rsidP="00245201">
      <w:pPr>
        <w:spacing w:line="360" w:lineRule="auto"/>
        <w:jc w:val="both"/>
        <w:rPr>
          <w:rFonts w:ascii="Arial" w:hAnsi="Arial" w:cs="Arial"/>
        </w:rPr>
      </w:pPr>
      <w:r w:rsidRPr="499AF727">
        <w:rPr>
          <w:rFonts w:ascii="Arial" w:hAnsi="Arial"/>
        </w:rPr>
        <w:t xml:space="preserve">Les grands tracteurs sont souvent équipés de pneus larges ou d'un jumelage. Ces derniers ne disposent toutefois pas d'une place suffisante dans la raie de labour et un passage sur le sol déjà labouré est en partie inévitable. C'est là qu'intervient la SERVO T 6000 avec l'option d'équipement On-Land, puisque le tracteur se déplace en dehors du sillon sur le sol non travaillé. Cela améliore non seulement la transmission de la puissance, mais préserve également le sol grâce à la grande surface de contact du tracteur et limite un compactage </w:t>
      </w:r>
      <w:r w:rsidRPr="00CA5829">
        <w:rPr>
          <w:rFonts w:ascii="Arial" w:hAnsi="Arial"/>
        </w:rPr>
        <w:t>dommageable dans les couches de sol plus profondes. De même, le risque d'une éventuelle formation de semelle due au patinage des roues de tracteurs dans le sillon est supprimé. On évite ainsi la formation d'une semelle de labour dommageable</w:t>
      </w:r>
      <w:r w:rsidRPr="499AF727">
        <w:rPr>
          <w:rFonts w:ascii="Arial" w:hAnsi="Arial"/>
        </w:rPr>
        <w:t xml:space="preserve"> pour la croissance des plantes. La vie du sol est favorisée tout comme l'assimilation de l'eau et des nutriments. C'est la base pour une culture saine et une récolte réussie.</w:t>
      </w:r>
    </w:p>
    <w:p w14:paraId="575DA485" w14:textId="77777777" w:rsidR="0068314A" w:rsidRPr="00C712DA" w:rsidRDefault="0068314A" w:rsidP="00646AE6">
      <w:pPr>
        <w:spacing w:line="360" w:lineRule="auto"/>
        <w:jc w:val="both"/>
        <w:rPr>
          <w:rFonts w:ascii="Arial" w:hAnsi="Arial" w:cs="Arial"/>
          <w:sz w:val="18"/>
          <w:szCs w:val="18"/>
        </w:rPr>
      </w:pPr>
    </w:p>
    <w:p w14:paraId="1BFCFB30" w14:textId="2FAA9088" w:rsidR="00C63D84" w:rsidRPr="00C63D84" w:rsidRDefault="00037D73" w:rsidP="00646AE6">
      <w:pPr>
        <w:spacing w:line="360" w:lineRule="auto"/>
        <w:jc w:val="both"/>
        <w:rPr>
          <w:rFonts w:ascii="Arial" w:hAnsi="Arial" w:cs="Arial"/>
          <w:b/>
          <w:bCs/>
        </w:rPr>
      </w:pPr>
      <w:r>
        <w:rPr>
          <w:rFonts w:ascii="Arial" w:hAnsi="Arial"/>
          <w:b/>
          <w:bCs/>
        </w:rPr>
        <w:t>Travailler efficacement et confortablement</w:t>
      </w:r>
    </w:p>
    <w:p w14:paraId="3F20A49D" w14:textId="2690FA44" w:rsidR="00245201" w:rsidRPr="00CA5829" w:rsidRDefault="00245201" w:rsidP="00245201">
      <w:pPr>
        <w:spacing w:line="360" w:lineRule="auto"/>
        <w:jc w:val="both"/>
        <w:rPr>
          <w:rFonts w:ascii="Arial" w:hAnsi="Arial" w:cs="Arial"/>
        </w:rPr>
      </w:pPr>
      <w:r w:rsidRPr="499AF727">
        <w:rPr>
          <w:rFonts w:ascii="Arial" w:hAnsi="Arial"/>
        </w:rPr>
        <w:t xml:space="preserve">Le labour hors raie permet d'obtenir une ligne de traction rectiligne. Il en découle une transmission plus efficace de la puissance du tracteur à la charrue et une traction latérale moindre, ce qui réduit l'usure des équipements. Pour un plus grand confort, des systèmes de guidage peuvent être utilisés. Le résultat est un labour plus précis combiné à un travail moins pénible pour les chauffeurs. De plus, le tracteur est de niveau avec la surface du sol, car il n'y a pas d'inclinaison due aux pneus qui se trouvent dans </w:t>
      </w:r>
      <w:r w:rsidRPr="00CA5829">
        <w:rPr>
          <w:rFonts w:ascii="Arial" w:hAnsi="Arial"/>
        </w:rPr>
        <w:t xml:space="preserve">le sillon. Il en découle une position assise droite et ergonomique </w:t>
      </w:r>
      <w:r w:rsidR="0B870298" w:rsidRPr="00CA5829">
        <w:rPr>
          <w:rFonts w:ascii="Arial" w:hAnsi="Arial"/>
        </w:rPr>
        <w:t>pour le conducteur du tracteur</w:t>
      </w:r>
      <w:r w:rsidRPr="00CA5829">
        <w:rPr>
          <w:rFonts w:ascii="Arial" w:hAnsi="Arial"/>
        </w:rPr>
        <w:t>. C'est particulièrement important lors des longues journées de travail.</w:t>
      </w:r>
    </w:p>
    <w:p w14:paraId="729E0A41" w14:textId="359983B6" w:rsidR="00C63D84" w:rsidRPr="00CA5829" w:rsidRDefault="00C63D84" w:rsidP="00646AE6">
      <w:pPr>
        <w:spacing w:line="360" w:lineRule="auto"/>
        <w:jc w:val="both"/>
        <w:rPr>
          <w:rFonts w:ascii="Arial" w:hAnsi="Arial" w:cs="Arial"/>
          <w:sz w:val="18"/>
          <w:szCs w:val="18"/>
        </w:rPr>
      </w:pPr>
    </w:p>
    <w:p w14:paraId="04EAAEB7" w14:textId="77777777" w:rsidR="00FC6EC2" w:rsidRPr="00CA5829" w:rsidRDefault="00FC6EC2" w:rsidP="00FC6EC2">
      <w:pPr>
        <w:spacing w:line="360" w:lineRule="auto"/>
        <w:jc w:val="both"/>
        <w:rPr>
          <w:rFonts w:ascii="Arial" w:hAnsi="Arial" w:cs="Arial"/>
          <w:b/>
          <w:bCs/>
        </w:rPr>
      </w:pPr>
      <w:r w:rsidRPr="00CA5829">
        <w:rPr>
          <w:rFonts w:ascii="Arial" w:hAnsi="Arial"/>
          <w:b/>
          <w:bCs/>
        </w:rPr>
        <w:t>Un partenaire fort</w:t>
      </w:r>
    </w:p>
    <w:p w14:paraId="3A3D5D4D" w14:textId="229A5090" w:rsidR="00FC6EC2" w:rsidRPr="00FC6EC2" w:rsidRDefault="00FC6EC2" w:rsidP="00FC6EC2">
      <w:pPr>
        <w:spacing w:line="360" w:lineRule="auto"/>
        <w:jc w:val="both"/>
        <w:rPr>
          <w:rFonts w:ascii="Arial" w:hAnsi="Arial" w:cs="Arial"/>
        </w:rPr>
      </w:pPr>
      <w:r w:rsidRPr="00CA5829">
        <w:rPr>
          <w:rFonts w:ascii="Arial" w:hAnsi="Arial"/>
        </w:rPr>
        <w:t xml:space="preserve">La charrue SERVO T 6000 de PÖTTINGER est conçue pour être utilisée avec des tracteurs puissants jusqu'à 500 ch. La possibilité de labourer hors de la raie permet de tirer encore mieux parti de cet atout. Ainsi, même dans des conditions difficiles, un travail efficace et une transmission sûre des forces sont garantis. Aucun obstacle ne se dresse sur le chemin d'une utilisation </w:t>
      </w:r>
      <w:r w:rsidR="4FC9CB70" w:rsidRPr="00CA5829">
        <w:rPr>
          <w:rFonts w:ascii="Arial" w:hAnsi="Arial"/>
        </w:rPr>
        <w:t xml:space="preserve">intense </w:t>
      </w:r>
      <w:r w:rsidRPr="00CA5829">
        <w:rPr>
          <w:rFonts w:ascii="Arial" w:hAnsi="Arial"/>
        </w:rPr>
        <w:t>et</w:t>
      </w:r>
      <w:r w:rsidRPr="499AF727">
        <w:rPr>
          <w:rFonts w:ascii="Arial" w:hAnsi="Arial"/>
        </w:rPr>
        <w:t xml:space="preserve"> de longue durée.</w:t>
      </w:r>
    </w:p>
    <w:p w14:paraId="0A393B2E" w14:textId="4B8198CC" w:rsidR="00F90FD0" w:rsidRPr="00C712DA" w:rsidRDefault="00F90FD0" w:rsidP="00646AE6">
      <w:pPr>
        <w:spacing w:line="360" w:lineRule="auto"/>
        <w:jc w:val="both"/>
        <w:rPr>
          <w:rFonts w:ascii="Arial" w:hAnsi="Arial" w:cs="Arial"/>
        </w:rPr>
      </w:pPr>
    </w:p>
    <w:p w14:paraId="45CF9B68" w14:textId="77777777" w:rsidR="00DC59EE" w:rsidRPr="00C712DA" w:rsidRDefault="00DC59EE" w:rsidP="28E75155">
      <w:pPr>
        <w:spacing w:after="120"/>
        <w:rPr>
          <w:rFonts w:ascii="Arial" w:hAnsi="Arial" w:cs="Arial"/>
          <w:b/>
          <w:bCs/>
        </w:rPr>
      </w:pPr>
    </w:p>
    <w:p w14:paraId="5DCC4521" w14:textId="27184063" w:rsidR="00A20902" w:rsidRDefault="2770A13B" w:rsidP="28E75155">
      <w:pPr>
        <w:spacing w:after="120"/>
        <w:rPr>
          <w:rFonts w:ascii="Arial" w:hAnsi="Arial" w:cs="Arial"/>
          <w:b/>
          <w:bCs/>
        </w:rPr>
      </w:pPr>
      <w:r>
        <w:rPr>
          <w:rFonts w:ascii="Arial" w:hAnsi="Arial"/>
          <w:b/>
          <w:bCs/>
        </w:rPr>
        <w:t>Aperçu des photos :</w:t>
      </w:r>
    </w:p>
    <w:tbl>
      <w:tblPr>
        <w:tblStyle w:val="Grilledutableau"/>
        <w:tblW w:w="0" w:type="auto"/>
        <w:tblLook w:val="04A0" w:firstRow="1" w:lastRow="0" w:firstColumn="1" w:lastColumn="0" w:noHBand="0" w:noVBand="1"/>
      </w:tblPr>
      <w:tblGrid>
        <w:gridCol w:w="4148"/>
        <w:gridCol w:w="4148"/>
      </w:tblGrid>
      <w:tr w:rsidR="00A20902" w14:paraId="0EE65C77" w14:textId="77777777" w:rsidTr="00C712DA">
        <w:tc>
          <w:tcPr>
            <w:tcW w:w="4148" w:type="dxa"/>
            <w:vAlign w:val="center"/>
          </w:tcPr>
          <w:p w14:paraId="065488F5" w14:textId="0B3749A7" w:rsidR="00A20902" w:rsidRPr="00822CE4" w:rsidRDefault="00C712DA" w:rsidP="00C712DA">
            <w:pPr>
              <w:spacing w:before="120" w:after="120"/>
              <w:jc w:val="center"/>
            </w:pPr>
            <w:r w:rsidRPr="00C712DA">
              <w:rPr>
                <w:rFonts w:eastAsia="Calibri"/>
                <w:noProof/>
                <w:sz w:val="20"/>
                <w:szCs w:val="20"/>
                <w:lang w:eastAsia="de-DE"/>
              </w:rPr>
              <w:drawing>
                <wp:inline distT="0" distB="0" distL="0" distR="0" wp14:anchorId="63113A0C" wp14:editId="26ECC8E9">
                  <wp:extent cx="1353820" cy="902335"/>
                  <wp:effectExtent l="0" t="0" r="17780" b="1206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53820" cy="902335"/>
                          </a:xfrm>
                          <a:prstGeom prst="rect">
                            <a:avLst/>
                          </a:prstGeom>
                          <a:noFill/>
                          <a:ln>
                            <a:noFill/>
                          </a:ln>
                        </pic:spPr>
                      </pic:pic>
                    </a:graphicData>
                  </a:graphic>
                </wp:inline>
              </w:drawing>
            </w:r>
          </w:p>
        </w:tc>
        <w:tc>
          <w:tcPr>
            <w:tcW w:w="4148" w:type="dxa"/>
            <w:vAlign w:val="center"/>
          </w:tcPr>
          <w:p w14:paraId="28598F97" w14:textId="1885E62E" w:rsidR="00A20902" w:rsidRDefault="00C712DA" w:rsidP="00C712DA">
            <w:pPr>
              <w:spacing w:before="120" w:after="120"/>
              <w:jc w:val="center"/>
            </w:pPr>
            <w:r w:rsidRPr="00C712DA">
              <w:rPr>
                <w:rFonts w:eastAsia="Calibri"/>
                <w:noProof/>
                <w:sz w:val="20"/>
                <w:szCs w:val="20"/>
                <w:lang w:eastAsia="de-DE"/>
              </w:rPr>
              <w:drawing>
                <wp:inline distT="0" distB="0" distL="0" distR="0" wp14:anchorId="63DC4129" wp14:editId="13BCA28E">
                  <wp:extent cx="1579245" cy="890905"/>
                  <wp:effectExtent l="0" t="0" r="1905" b="444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79245" cy="890905"/>
                          </a:xfrm>
                          <a:prstGeom prst="rect">
                            <a:avLst/>
                          </a:prstGeom>
                          <a:noFill/>
                          <a:ln>
                            <a:noFill/>
                          </a:ln>
                        </pic:spPr>
                      </pic:pic>
                    </a:graphicData>
                  </a:graphic>
                </wp:inline>
              </w:drawing>
            </w:r>
          </w:p>
        </w:tc>
      </w:tr>
      <w:tr w:rsidR="00A20902" w:rsidRPr="00BF72A9" w14:paraId="4B54FC26" w14:textId="77777777" w:rsidTr="00C712DA">
        <w:tc>
          <w:tcPr>
            <w:tcW w:w="4148" w:type="dxa"/>
            <w:vAlign w:val="center"/>
          </w:tcPr>
          <w:p w14:paraId="6647F4C7" w14:textId="5DC7AE39" w:rsidR="00A20902" w:rsidRPr="00A20902" w:rsidRDefault="00275EEC" w:rsidP="00C712DA">
            <w:pPr>
              <w:spacing w:before="120" w:after="120" w:line="259" w:lineRule="auto"/>
              <w:jc w:val="center"/>
              <w:rPr>
                <w:rFonts w:ascii="Arial" w:hAnsi="Arial" w:cs="Arial"/>
              </w:rPr>
            </w:pPr>
            <w:r>
              <w:rPr>
                <w:rFonts w:ascii="Arial" w:hAnsi="Arial"/>
                <w:sz w:val="22"/>
                <w:szCs w:val="22"/>
              </w:rPr>
              <w:t>Labourage hors de la raie respectueux du sol avec le SERVO T 6000</w:t>
            </w:r>
          </w:p>
        </w:tc>
        <w:tc>
          <w:tcPr>
            <w:tcW w:w="4148" w:type="dxa"/>
            <w:vAlign w:val="center"/>
          </w:tcPr>
          <w:p w14:paraId="71866170" w14:textId="2CCA4ACD" w:rsidR="00A20902" w:rsidRPr="00A20902" w:rsidRDefault="00C372F4" w:rsidP="00C712DA">
            <w:pPr>
              <w:spacing w:before="120" w:after="120"/>
              <w:jc w:val="center"/>
              <w:rPr>
                <w:rFonts w:ascii="Arial" w:hAnsi="Arial" w:cs="Arial"/>
                <w:sz w:val="22"/>
                <w:szCs w:val="22"/>
              </w:rPr>
            </w:pPr>
            <w:r>
              <w:rPr>
                <w:rFonts w:ascii="Arial" w:hAnsi="Arial"/>
                <w:sz w:val="22"/>
                <w:szCs w:val="22"/>
              </w:rPr>
              <w:t>Tracé rectiligne de la ligne de traction lors du labour hors raie</w:t>
            </w:r>
          </w:p>
        </w:tc>
      </w:tr>
      <w:tr w:rsidR="00C712DA" w:rsidRPr="00BF72A9" w14:paraId="39C4777B" w14:textId="77777777" w:rsidTr="00C712DA">
        <w:tc>
          <w:tcPr>
            <w:tcW w:w="4148" w:type="dxa"/>
            <w:vAlign w:val="center"/>
          </w:tcPr>
          <w:p w14:paraId="53CD951C" w14:textId="07ADA2D1" w:rsidR="00C712DA" w:rsidRPr="00C712DA" w:rsidRDefault="00CA5829" w:rsidP="00C712DA">
            <w:pPr>
              <w:spacing w:before="120" w:after="120"/>
              <w:jc w:val="center"/>
              <w:rPr>
                <w:rStyle w:val="Lienhypertexte"/>
                <w:rFonts w:ascii="Arial" w:eastAsia="Calibri" w:hAnsi="Arial" w:cs="Arial"/>
                <w:color w:val="auto"/>
                <w:sz w:val="20"/>
                <w:szCs w:val="20"/>
                <w:u w:val="none"/>
                <w:lang w:eastAsia="de-DE"/>
              </w:rPr>
            </w:pPr>
            <w:hyperlink r:id="rId15" w:history="1">
              <w:r w:rsidR="00C712DA" w:rsidRPr="00CF4A1A">
                <w:rPr>
                  <w:rStyle w:val="Lienhypertexte"/>
                  <w:rFonts w:ascii="Arial" w:eastAsia="Calibri" w:hAnsi="Arial" w:cs="Arial"/>
                  <w:sz w:val="20"/>
                  <w:szCs w:val="20"/>
                  <w:lang w:eastAsia="de-DE"/>
                </w:rPr>
                <w:t>https://www.poettinger.at/fr_fr/newsroom/pressebild/90449</w:t>
              </w:r>
            </w:hyperlink>
          </w:p>
        </w:tc>
        <w:tc>
          <w:tcPr>
            <w:tcW w:w="4148" w:type="dxa"/>
            <w:vAlign w:val="center"/>
          </w:tcPr>
          <w:p w14:paraId="10DE4331" w14:textId="7F681977" w:rsidR="00C712DA" w:rsidRPr="00C712DA" w:rsidRDefault="00CA5829" w:rsidP="00C712DA">
            <w:pPr>
              <w:spacing w:before="120" w:after="120"/>
              <w:jc w:val="center"/>
              <w:rPr>
                <w:rStyle w:val="Lienhypertexte"/>
                <w:rFonts w:ascii="Arial" w:eastAsia="Calibri" w:hAnsi="Arial" w:cs="Arial"/>
                <w:color w:val="auto"/>
                <w:sz w:val="20"/>
                <w:szCs w:val="20"/>
                <w:u w:val="none"/>
                <w:lang w:eastAsia="de-DE"/>
              </w:rPr>
            </w:pPr>
            <w:hyperlink r:id="rId16" w:history="1">
              <w:r w:rsidR="00C712DA" w:rsidRPr="00C712DA">
                <w:rPr>
                  <w:rStyle w:val="Lienhypertexte"/>
                  <w:rFonts w:ascii="Arial" w:eastAsia="Calibri" w:hAnsi="Arial" w:cs="Arial"/>
                  <w:sz w:val="20"/>
                  <w:szCs w:val="20"/>
                  <w:lang w:eastAsia="de-DE"/>
                </w:rPr>
                <w:t>https://www.poettinger.at/</w:t>
              </w:r>
              <w:r w:rsidR="00C712DA" w:rsidRPr="00CF4A1A">
                <w:rPr>
                  <w:rStyle w:val="Lienhypertexte"/>
                  <w:rFonts w:ascii="Arial" w:eastAsia="Calibri" w:hAnsi="Arial" w:cs="Arial"/>
                  <w:sz w:val="20"/>
                  <w:szCs w:val="20"/>
                  <w:lang w:eastAsia="de-DE"/>
                </w:rPr>
                <w:t>fr</w:t>
              </w:r>
              <w:r w:rsidR="00C712DA" w:rsidRPr="00C712DA">
                <w:rPr>
                  <w:rStyle w:val="Lienhypertexte"/>
                  <w:rFonts w:ascii="Arial" w:eastAsia="Calibri" w:hAnsi="Arial" w:cs="Arial"/>
                  <w:sz w:val="20"/>
                  <w:szCs w:val="20"/>
                  <w:lang w:eastAsia="de-DE"/>
                </w:rPr>
                <w:t>_</w:t>
              </w:r>
              <w:r w:rsidR="00C712DA" w:rsidRPr="00CF4A1A">
                <w:rPr>
                  <w:rStyle w:val="Lienhypertexte"/>
                  <w:rFonts w:ascii="Arial" w:eastAsia="Calibri" w:hAnsi="Arial" w:cs="Arial"/>
                  <w:sz w:val="20"/>
                  <w:szCs w:val="20"/>
                  <w:lang w:eastAsia="de-DE"/>
                </w:rPr>
                <w:t>fr</w:t>
              </w:r>
              <w:r w:rsidR="00C712DA" w:rsidRPr="00C712DA">
                <w:rPr>
                  <w:rStyle w:val="Lienhypertexte"/>
                  <w:rFonts w:ascii="Arial" w:eastAsia="Calibri" w:hAnsi="Arial" w:cs="Arial"/>
                  <w:sz w:val="20"/>
                  <w:szCs w:val="20"/>
                  <w:lang w:eastAsia="de-DE"/>
                </w:rPr>
                <w:t>/newsroom/pressebild/90447</w:t>
              </w:r>
            </w:hyperlink>
          </w:p>
        </w:tc>
      </w:tr>
    </w:tbl>
    <w:p w14:paraId="0A3BCC13" w14:textId="5DAC485E" w:rsidR="00A20902" w:rsidRDefault="00A20902" w:rsidP="00A20902">
      <w:pPr>
        <w:spacing w:line="360" w:lineRule="auto"/>
        <w:jc w:val="both"/>
      </w:pPr>
    </w:p>
    <w:p w14:paraId="12ADBCE5" w14:textId="77777777" w:rsidR="00C712DA" w:rsidRPr="00C712DA" w:rsidRDefault="00C712DA" w:rsidP="00A20902">
      <w:pPr>
        <w:spacing w:line="360" w:lineRule="auto"/>
        <w:jc w:val="both"/>
      </w:pPr>
    </w:p>
    <w:p w14:paraId="3310B69E" w14:textId="13D596B1"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r w:rsidR="00C712DA">
        <w:rPr>
          <w:rFonts w:ascii="Arial" w:hAnsi="Arial"/>
          <w:snapToGrid w:val="0"/>
          <w:color w:val="000000"/>
        </w:rPr>
        <w:tab/>
      </w:r>
      <w:r w:rsidR="00C712DA">
        <w:rPr>
          <w:rFonts w:ascii="Arial" w:hAnsi="Arial"/>
          <w:snapToGrid w:val="0"/>
          <w:color w:val="000000"/>
        </w:rPr>
        <w:br/>
      </w:r>
      <w:hyperlink r:id="rId17" w:history="1">
        <w:r w:rsidR="00C712DA" w:rsidRPr="00CF4A1A">
          <w:rPr>
            <w:rStyle w:val="Lienhypertexte"/>
            <w:rFonts w:ascii="Arial" w:hAnsi="Arial"/>
            <w:snapToGrid w:val="0"/>
          </w:rPr>
          <w:t>https://www.poettinger.at/fr_fr/services/downloadcenter</w:t>
        </w:r>
      </w:hyperlink>
    </w:p>
    <w:p w14:paraId="233A8A57" w14:textId="77777777" w:rsidR="00A20902" w:rsidRPr="00C712DA" w:rsidRDefault="00A20902" w:rsidP="00A20902">
      <w:pPr>
        <w:spacing w:line="360" w:lineRule="auto"/>
        <w:jc w:val="both"/>
      </w:pPr>
    </w:p>
    <w:p w14:paraId="1935A039" w14:textId="77777777" w:rsidR="00A20902" w:rsidRPr="00C712DA" w:rsidRDefault="00A20902" w:rsidP="0030323D">
      <w:pPr>
        <w:spacing w:line="360" w:lineRule="auto"/>
        <w:jc w:val="both"/>
        <w:rPr>
          <w:rFonts w:ascii="Arial" w:hAnsi="Arial" w:cs="Arial"/>
          <w:color w:val="000000"/>
          <w:lang w:eastAsia="de-DE"/>
        </w:rPr>
      </w:pPr>
    </w:p>
    <w:sectPr w:rsidR="00A20902" w:rsidRPr="00C712DA" w:rsidSect="00F43F18">
      <w:headerReference w:type="default" r:id="rId18"/>
      <w:footerReference w:type="default" r:id="rId1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D549" w14:textId="77777777" w:rsidR="0027701A" w:rsidRDefault="0027701A">
      <w:r>
        <w:separator/>
      </w:r>
    </w:p>
  </w:endnote>
  <w:endnote w:type="continuationSeparator" w:id="0">
    <w:p w14:paraId="6298404D" w14:textId="77777777" w:rsidR="0027701A" w:rsidRDefault="0027701A">
      <w:r>
        <w:continuationSeparator/>
      </w:r>
    </w:p>
  </w:endnote>
  <w:endnote w:type="continuationNotice" w:id="1">
    <w:p w14:paraId="2358EAAB" w14:textId="77777777" w:rsidR="0027701A" w:rsidRDefault="00277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rPr>
        <w:sz w:val="18"/>
        <w:szCs w:val="18"/>
      </w:r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59599A">
        <w:pPr>
          <w:rPr>
            <w:rFonts w:ascii="Arial" w:hAnsi="Arial" w:cs="Arial"/>
            <w:b/>
            <w:color w:val="808080" w:themeColor="background1" w:themeShade="80"/>
            <w:sz w:val="18"/>
            <w:szCs w:val="18"/>
          </w:rPr>
        </w:pPr>
        <w:r>
          <w:rPr>
            <w:rFonts w:ascii="Arial" w:hAnsi="Arial"/>
            <w:b/>
            <w:color w:val="808080" w:themeColor="background1" w:themeShade="80"/>
            <w:sz w:val="18"/>
            <w:szCs w:val="18"/>
          </w:rPr>
          <w:t xml:space="preserve">PÖTTINGER </w:t>
        </w:r>
        <w:proofErr w:type="spellStart"/>
        <w:r>
          <w:rPr>
            <w:rFonts w:ascii="Arial" w:hAnsi="Arial"/>
            <w:b/>
            <w:color w:val="808080" w:themeColor="background1" w:themeShade="80"/>
            <w:sz w:val="18"/>
            <w:szCs w:val="18"/>
          </w:rPr>
          <w:t>Landtechnik</w:t>
        </w:r>
        <w:proofErr w:type="spellEnd"/>
        <w:r>
          <w:rPr>
            <w:rFonts w:ascii="Arial" w:hAnsi="Arial"/>
            <w:b/>
            <w:color w:val="808080" w:themeColor="background1" w:themeShade="80"/>
            <w:sz w:val="18"/>
            <w:szCs w:val="18"/>
          </w:rPr>
          <w:t xml:space="preserve"> </w:t>
        </w:r>
        <w:proofErr w:type="spellStart"/>
        <w:r>
          <w:rPr>
            <w:rFonts w:ascii="Arial" w:hAnsi="Arial"/>
            <w:b/>
            <w:color w:val="808080" w:themeColor="background1" w:themeShade="80"/>
            <w:sz w:val="18"/>
            <w:szCs w:val="18"/>
          </w:rPr>
          <w:t>GmbH</w:t>
        </w:r>
        <w:proofErr w:type="spellEnd"/>
        <w:r>
          <w:rPr>
            <w:rFonts w:ascii="Arial" w:hAnsi="Arial"/>
            <w:b/>
            <w:color w:val="808080" w:themeColor="background1" w:themeShade="80"/>
            <w:sz w:val="18"/>
            <w:szCs w:val="18"/>
          </w:rPr>
          <w:t xml:space="preserve"> – Communication d'entreprise</w:t>
        </w:r>
      </w:p>
      <w:p w14:paraId="1E44C134" w14:textId="77777777" w:rsidR="0059599A" w:rsidRPr="0059599A" w:rsidRDefault="0059599A" w:rsidP="0059599A">
        <w:pPr>
          <w:rPr>
            <w:rFonts w:ascii="Arial" w:hAnsi="Arial" w:cs="Arial"/>
            <w:color w:val="808080" w:themeColor="background1" w:themeShade="80"/>
            <w:sz w:val="18"/>
            <w:szCs w:val="18"/>
          </w:rPr>
        </w:pPr>
        <w:r>
          <w:rPr>
            <w:rFonts w:ascii="Arial" w:hAnsi="Arial"/>
            <w:color w:val="808080" w:themeColor="background1" w:themeShade="80"/>
            <w:sz w:val="18"/>
            <w:szCs w:val="18"/>
          </w:rPr>
          <w:t xml:space="preserve">Inge Steibl, </w:t>
        </w:r>
        <w:proofErr w:type="spellStart"/>
        <w:r>
          <w:rPr>
            <w:rFonts w:ascii="Arial" w:hAnsi="Arial"/>
            <w:color w:val="808080" w:themeColor="background1" w:themeShade="80"/>
            <w:sz w:val="18"/>
            <w:szCs w:val="18"/>
          </w:rPr>
          <w:t>Industriegelände</w:t>
        </w:r>
        <w:proofErr w:type="spellEnd"/>
        <w:r>
          <w:rPr>
            <w:rFonts w:ascii="Arial" w:hAnsi="Arial"/>
            <w:color w:val="808080" w:themeColor="background1" w:themeShade="80"/>
            <w:sz w:val="18"/>
            <w:szCs w:val="18"/>
          </w:rPr>
          <w:t xml:space="preserve"> 1, A-4710 Grieskirchen</w:t>
        </w:r>
      </w:p>
      <w:p w14:paraId="4EB4BAB0" w14:textId="046287FF" w:rsidR="00854222" w:rsidRPr="00C712DA" w:rsidRDefault="0059599A" w:rsidP="00C712DA">
        <w:pPr>
          <w:pStyle w:val="Pieddepage"/>
          <w:rPr>
            <w:rFonts w:ascii="Arial" w:hAnsi="Arial" w:cs="Arial"/>
            <w:color w:val="808080" w:themeColor="background1" w:themeShade="80"/>
            <w:sz w:val="18"/>
            <w:szCs w:val="18"/>
          </w:rPr>
        </w:pPr>
        <w:r>
          <w:rPr>
            <w:rFonts w:ascii="Arial" w:hAnsi="Arial"/>
            <w:color w:val="808080" w:themeColor="background1" w:themeShade="80"/>
            <w:sz w:val="18"/>
            <w:szCs w:val="18"/>
          </w:rPr>
          <w:t xml:space="preserve">Tél. +43 7248 600-2415, courriel : </w:t>
        </w:r>
        <w:hyperlink r:id="rId1" w:history="1">
          <w:r>
            <w:rPr>
              <w:rFonts w:ascii="Arial" w:hAnsi="Arial"/>
              <w:color w:val="808080" w:themeColor="background1" w:themeShade="80"/>
              <w:sz w:val="18"/>
              <w:szCs w:val="18"/>
            </w:rPr>
            <w:t>inge.steibl@poettinger.at</w:t>
          </w:r>
        </w:hyperlink>
        <w:r>
          <w:rPr>
            <w:rFonts w:ascii="Arial" w:hAnsi="Arial"/>
            <w:color w:val="808080" w:themeColor="background1" w:themeShade="80"/>
            <w:sz w:val="18"/>
            <w:szCs w:val="18"/>
          </w:rPr>
          <w:t xml:space="preserve">, </w:t>
        </w:r>
        <w:hyperlink r:id="rId2" w:history="1">
          <w:r>
            <w:rPr>
              <w:rFonts w:ascii="Arial" w:hAnsi="Arial"/>
              <w:color w:val="808080" w:themeColor="background1" w:themeShade="80"/>
              <w:sz w:val="18"/>
              <w:szCs w:val="18"/>
            </w:rPr>
            <w:t>www.poettinger.at</w:t>
          </w:r>
        </w:hyperlink>
        <w:r>
          <w:rPr>
            <w:rFonts w:ascii="Arial" w:hAnsi="Arial"/>
            <w:color w:val="808080" w:themeColor="background1" w:themeShade="80"/>
            <w:sz w:val="18"/>
            <w:szCs w:val="18"/>
          </w:rPr>
          <w:tab/>
        </w:r>
        <w:r w:rsidR="00B94227" w:rsidRPr="00C712DA">
          <w:rPr>
            <w:rFonts w:ascii="Arial" w:hAnsi="Arial" w:cs="Arial"/>
            <w:color w:val="808080" w:themeColor="background1" w:themeShade="80"/>
            <w:sz w:val="18"/>
            <w:szCs w:val="18"/>
          </w:rPr>
          <w:fldChar w:fldCharType="begin"/>
        </w:r>
        <w:r w:rsidR="00C963A4" w:rsidRPr="00C712DA">
          <w:rPr>
            <w:rFonts w:ascii="Arial" w:hAnsi="Arial" w:cs="Arial"/>
            <w:color w:val="808080" w:themeColor="background1" w:themeShade="80"/>
            <w:sz w:val="18"/>
            <w:szCs w:val="18"/>
          </w:rPr>
          <w:instrText xml:space="preserve"> PAGE   \* MERGEFORMAT </w:instrText>
        </w:r>
        <w:r w:rsidR="00B94227" w:rsidRPr="00C712DA">
          <w:rPr>
            <w:rFonts w:ascii="Arial" w:hAnsi="Arial" w:cs="Arial"/>
            <w:color w:val="808080" w:themeColor="background1" w:themeShade="80"/>
            <w:sz w:val="18"/>
            <w:szCs w:val="18"/>
          </w:rPr>
          <w:fldChar w:fldCharType="separate"/>
        </w:r>
        <w:r w:rsidR="0081371C" w:rsidRPr="00C712DA">
          <w:rPr>
            <w:rFonts w:ascii="Arial" w:hAnsi="Arial" w:cs="Arial"/>
            <w:color w:val="808080" w:themeColor="background1" w:themeShade="80"/>
            <w:sz w:val="18"/>
            <w:szCs w:val="18"/>
          </w:rPr>
          <w:t>5</w:t>
        </w:r>
        <w:r w:rsidR="00B94227" w:rsidRPr="00C712DA">
          <w:rPr>
            <w:rFonts w:ascii="Arial" w:hAnsi="Arial" w:cs="Arial"/>
            <w:color w:val="808080" w:themeColor="background1"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37F9" w14:textId="77777777" w:rsidR="0027701A" w:rsidRDefault="0027701A">
      <w:r>
        <w:separator/>
      </w:r>
    </w:p>
  </w:footnote>
  <w:footnote w:type="continuationSeparator" w:id="0">
    <w:p w14:paraId="60799BEF" w14:textId="77777777" w:rsidR="0027701A" w:rsidRDefault="0027701A">
      <w:r>
        <w:continuationSeparator/>
      </w:r>
    </w:p>
  </w:footnote>
  <w:footnote w:type="continuationNotice" w:id="1">
    <w:p w14:paraId="6344260C" w14:textId="77777777" w:rsidR="0027701A" w:rsidRDefault="00277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En-tt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Communiqué de presse                                            </w:t>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3in;height:3in" o:bullet="t"/>
    </w:pict>
  </w:numPicBullet>
  <w:numPicBullet w:numPicBulletId="1">
    <w:pict>
      <v:shape id="_x0000_i1501" type="#_x0000_t75" style="width:3in;height:3in" o:bullet="t"/>
    </w:pict>
  </w:numPicBullet>
  <w:numPicBullet w:numPicBulletId="2">
    <w:pict>
      <v:shape id="_x0000_i1502" type="#_x0000_t75" style="width:3in;height:3in" o:bullet="t"/>
    </w:pict>
  </w:numPicBullet>
  <w:numPicBullet w:numPicBulletId="3">
    <w:pict>
      <v:shape id="_x0000_i1503" type="#_x0000_t75" style="width:3in;height:3in" o:bullet="t"/>
    </w:pict>
  </w:numPicBullet>
  <w:numPicBullet w:numPicBulletId="4">
    <w:pict>
      <v:shape id="_x0000_i1504" type="#_x0000_t75" style="width:3in;height:3in" o:bullet="t"/>
    </w:pict>
  </w:numPicBullet>
  <w:numPicBullet w:numPicBulletId="5">
    <w:pict>
      <v:shape id="_x0000_i1505"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8857551">
    <w:abstractNumId w:val="6"/>
  </w:num>
  <w:num w:numId="2" w16cid:durableId="186219865">
    <w:abstractNumId w:val="13"/>
  </w:num>
  <w:num w:numId="3" w16cid:durableId="495658554">
    <w:abstractNumId w:val="2"/>
  </w:num>
  <w:num w:numId="4" w16cid:durableId="2039697335">
    <w:abstractNumId w:val="4"/>
  </w:num>
  <w:num w:numId="5" w16cid:durableId="499082378">
    <w:abstractNumId w:val="3"/>
  </w:num>
  <w:num w:numId="6" w16cid:durableId="218170340">
    <w:abstractNumId w:val="0"/>
    <w:lvlOverride w:ilvl="0">
      <w:lvl w:ilvl="0">
        <w:numFmt w:val="bullet"/>
        <w:lvlText w:val=""/>
        <w:legacy w:legacy="1" w:legacySpace="0" w:legacyIndent="0"/>
        <w:lvlJc w:val="left"/>
        <w:rPr>
          <w:rFonts w:ascii="Symbol" w:hAnsi="Symbol" w:hint="default"/>
          <w:sz w:val="22"/>
        </w:rPr>
      </w:lvl>
    </w:lvlOverride>
  </w:num>
  <w:num w:numId="7" w16cid:durableId="1167552614">
    <w:abstractNumId w:val="1"/>
  </w:num>
  <w:num w:numId="8" w16cid:durableId="281227514">
    <w:abstractNumId w:val="12"/>
  </w:num>
  <w:num w:numId="9" w16cid:durableId="1664701713">
    <w:abstractNumId w:val="5"/>
  </w:num>
  <w:num w:numId="10" w16cid:durableId="165363745">
    <w:abstractNumId w:val="11"/>
  </w:num>
  <w:num w:numId="11" w16cid:durableId="146748264">
    <w:abstractNumId w:val="9"/>
  </w:num>
  <w:num w:numId="12" w16cid:durableId="561409194">
    <w:abstractNumId w:val="10"/>
  </w:num>
  <w:num w:numId="13" w16cid:durableId="36200198">
    <w:abstractNumId w:val="8"/>
  </w:num>
  <w:num w:numId="14" w16cid:durableId="1678733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453A"/>
    <w:rsid w:val="000231FA"/>
    <w:rsid w:val="00026F27"/>
    <w:rsid w:val="00027535"/>
    <w:rsid w:val="00030622"/>
    <w:rsid w:val="00030D4E"/>
    <w:rsid w:val="000315CE"/>
    <w:rsid w:val="00031992"/>
    <w:rsid w:val="00032EA2"/>
    <w:rsid w:val="000367A1"/>
    <w:rsid w:val="00037D73"/>
    <w:rsid w:val="00041F51"/>
    <w:rsid w:val="000432F3"/>
    <w:rsid w:val="00043441"/>
    <w:rsid w:val="00046809"/>
    <w:rsid w:val="00056DD4"/>
    <w:rsid w:val="000637D1"/>
    <w:rsid w:val="00070559"/>
    <w:rsid w:val="00074486"/>
    <w:rsid w:val="00075D98"/>
    <w:rsid w:val="00076A17"/>
    <w:rsid w:val="00077617"/>
    <w:rsid w:val="000776EC"/>
    <w:rsid w:val="0008145B"/>
    <w:rsid w:val="0008279A"/>
    <w:rsid w:val="000833EA"/>
    <w:rsid w:val="00083C0F"/>
    <w:rsid w:val="0008459E"/>
    <w:rsid w:val="0008508C"/>
    <w:rsid w:val="00097DFE"/>
    <w:rsid w:val="000A671E"/>
    <w:rsid w:val="000B1D1A"/>
    <w:rsid w:val="000B2825"/>
    <w:rsid w:val="000D1677"/>
    <w:rsid w:val="000E0152"/>
    <w:rsid w:val="000E2C9E"/>
    <w:rsid w:val="000F4E39"/>
    <w:rsid w:val="000F7119"/>
    <w:rsid w:val="00100D3B"/>
    <w:rsid w:val="001033AA"/>
    <w:rsid w:val="001078EC"/>
    <w:rsid w:val="00114F68"/>
    <w:rsid w:val="00124864"/>
    <w:rsid w:val="00124A77"/>
    <w:rsid w:val="00127561"/>
    <w:rsid w:val="00131260"/>
    <w:rsid w:val="00132B85"/>
    <w:rsid w:val="0013355E"/>
    <w:rsid w:val="00134ECA"/>
    <w:rsid w:val="00135DB8"/>
    <w:rsid w:val="0013620D"/>
    <w:rsid w:val="0014228A"/>
    <w:rsid w:val="00154751"/>
    <w:rsid w:val="0016041B"/>
    <w:rsid w:val="00162FA1"/>
    <w:rsid w:val="00170421"/>
    <w:rsid w:val="00170F60"/>
    <w:rsid w:val="001726F4"/>
    <w:rsid w:val="00173712"/>
    <w:rsid w:val="00174F37"/>
    <w:rsid w:val="00180791"/>
    <w:rsid w:val="00181656"/>
    <w:rsid w:val="00185992"/>
    <w:rsid w:val="00187F4E"/>
    <w:rsid w:val="001949A4"/>
    <w:rsid w:val="001976D3"/>
    <w:rsid w:val="001A1BC9"/>
    <w:rsid w:val="001A2CF8"/>
    <w:rsid w:val="001A771E"/>
    <w:rsid w:val="001B05C5"/>
    <w:rsid w:val="001B150E"/>
    <w:rsid w:val="001B1C9C"/>
    <w:rsid w:val="001B3BC8"/>
    <w:rsid w:val="001C2342"/>
    <w:rsid w:val="001C3FF6"/>
    <w:rsid w:val="001C697A"/>
    <w:rsid w:val="001D0EE8"/>
    <w:rsid w:val="001D138B"/>
    <w:rsid w:val="001E40E2"/>
    <w:rsid w:val="001F4409"/>
    <w:rsid w:val="001F77C7"/>
    <w:rsid w:val="0021013B"/>
    <w:rsid w:val="00210D30"/>
    <w:rsid w:val="00215028"/>
    <w:rsid w:val="00216C68"/>
    <w:rsid w:val="00225219"/>
    <w:rsid w:val="002264D8"/>
    <w:rsid w:val="002268E6"/>
    <w:rsid w:val="002375A2"/>
    <w:rsid w:val="00245201"/>
    <w:rsid w:val="00247FEA"/>
    <w:rsid w:val="00252533"/>
    <w:rsid w:val="0026185F"/>
    <w:rsid w:val="00262F4B"/>
    <w:rsid w:val="0026420E"/>
    <w:rsid w:val="00267637"/>
    <w:rsid w:val="002744A4"/>
    <w:rsid w:val="00275EEC"/>
    <w:rsid w:val="0027701A"/>
    <w:rsid w:val="002821A9"/>
    <w:rsid w:val="00285366"/>
    <w:rsid w:val="0028554E"/>
    <w:rsid w:val="002856B1"/>
    <w:rsid w:val="002A16BC"/>
    <w:rsid w:val="002A36F5"/>
    <w:rsid w:val="002B095D"/>
    <w:rsid w:val="002B1B92"/>
    <w:rsid w:val="002B3BAE"/>
    <w:rsid w:val="002C1821"/>
    <w:rsid w:val="002C1D41"/>
    <w:rsid w:val="002D0A48"/>
    <w:rsid w:val="002D1E65"/>
    <w:rsid w:val="002D4E4B"/>
    <w:rsid w:val="002D7B0A"/>
    <w:rsid w:val="002D7B8D"/>
    <w:rsid w:val="002E0C86"/>
    <w:rsid w:val="002E1261"/>
    <w:rsid w:val="003014EB"/>
    <w:rsid w:val="0030234F"/>
    <w:rsid w:val="0030323D"/>
    <w:rsid w:val="00306B6C"/>
    <w:rsid w:val="00306DB5"/>
    <w:rsid w:val="00310400"/>
    <w:rsid w:val="0031371C"/>
    <w:rsid w:val="003149E1"/>
    <w:rsid w:val="003151EB"/>
    <w:rsid w:val="0032129B"/>
    <w:rsid w:val="00321B75"/>
    <w:rsid w:val="00322CDF"/>
    <w:rsid w:val="003235B3"/>
    <w:rsid w:val="00326A6B"/>
    <w:rsid w:val="00327864"/>
    <w:rsid w:val="003312E3"/>
    <w:rsid w:val="0033638F"/>
    <w:rsid w:val="00343AF3"/>
    <w:rsid w:val="00347FEF"/>
    <w:rsid w:val="0035236E"/>
    <w:rsid w:val="0035287F"/>
    <w:rsid w:val="00353DFF"/>
    <w:rsid w:val="00355BC7"/>
    <w:rsid w:val="00366FC0"/>
    <w:rsid w:val="003768D3"/>
    <w:rsid w:val="003779A2"/>
    <w:rsid w:val="00383423"/>
    <w:rsid w:val="00387A94"/>
    <w:rsid w:val="003901C7"/>
    <w:rsid w:val="00391497"/>
    <w:rsid w:val="00396EF5"/>
    <w:rsid w:val="003A4567"/>
    <w:rsid w:val="003C11FC"/>
    <w:rsid w:val="003D1468"/>
    <w:rsid w:val="003D32DF"/>
    <w:rsid w:val="003D6665"/>
    <w:rsid w:val="003E1D60"/>
    <w:rsid w:val="003E2C83"/>
    <w:rsid w:val="003E6BC0"/>
    <w:rsid w:val="003F2496"/>
    <w:rsid w:val="003F670C"/>
    <w:rsid w:val="00400CC5"/>
    <w:rsid w:val="00400D9C"/>
    <w:rsid w:val="00401ACE"/>
    <w:rsid w:val="00402209"/>
    <w:rsid w:val="00413495"/>
    <w:rsid w:val="004144D6"/>
    <w:rsid w:val="00415777"/>
    <w:rsid w:val="0041793F"/>
    <w:rsid w:val="00434910"/>
    <w:rsid w:val="00436EEC"/>
    <w:rsid w:val="00442BF6"/>
    <w:rsid w:val="00444BC0"/>
    <w:rsid w:val="00451BC6"/>
    <w:rsid w:val="00454626"/>
    <w:rsid w:val="004612A2"/>
    <w:rsid w:val="00470DA5"/>
    <w:rsid w:val="004722D3"/>
    <w:rsid w:val="00472555"/>
    <w:rsid w:val="00481E28"/>
    <w:rsid w:val="00484BBB"/>
    <w:rsid w:val="004975B8"/>
    <w:rsid w:val="0049761C"/>
    <w:rsid w:val="004A36BA"/>
    <w:rsid w:val="004A6147"/>
    <w:rsid w:val="004B0317"/>
    <w:rsid w:val="004B1E13"/>
    <w:rsid w:val="004B1EAA"/>
    <w:rsid w:val="004B279E"/>
    <w:rsid w:val="004B78B7"/>
    <w:rsid w:val="004C17FC"/>
    <w:rsid w:val="004C29A1"/>
    <w:rsid w:val="004C4F3B"/>
    <w:rsid w:val="004C77E4"/>
    <w:rsid w:val="004D12C9"/>
    <w:rsid w:val="004D258F"/>
    <w:rsid w:val="004D512C"/>
    <w:rsid w:val="004E4175"/>
    <w:rsid w:val="004E661E"/>
    <w:rsid w:val="004F6D59"/>
    <w:rsid w:val="0050249D"/>
    <w:rsid w:val="00507E50"/>
    <w:rsid w:val="00513582"/>
    <w:rsid w:val="00515B1E"/>
    <w:rsid w:val="00520606"/>
    <w:rsid w:val="005245E3"/>
    <w:rsid w:val="00531516"/>
    <w:rsid w:val="00541A09"/>
    <w:rsid w:val="00543B68"/>
    <w:rsid w:val="00544C50"/>
    <w:rsid w:val="00550F81"/>
    <w:rsid w:val="00554614"/>
    <w:rsid w:val="00554CA1"/>
    <w:rsid w:val="00562F2B"/>
    <w:rsid w:val="00566F6A"/>
    <w:rsid w:val="005678A3"/>
    <w:rsid w:val="00572B1F"/>
    <w:rsid w:val="00572CA6"/>
    <w:rsid w:val="005817C0"/>
    <w:rsid w:val="00585F97"/>
    <w:rsid w:val="0059599A"/>
    <w:rsid w:val="005A1DE3"/>
    <w:rsid w:val="005A3570"/>
    <w:rsid w:val="005A454A"/>
    <w:rsid w:val="005A4F0A"/>
    <w:rsid w:val="005A7E57"/>
    <w:rsid w:val="005B1713"/>
    <w:rsid w:val="005B305B"/>
    <w:rsid w:val="005B45CF"/>
    <w:rsid w:val="005C02F5"/>
    <w:rsid w:val="005C0783"/>
    <w:rsid w:val="005C3B1E"/>
    <w:rsid w:val="005C3B81"/>
    <w:rsid w:val="005C6518"/>
    <w:rsid w:val="005C763E"/>
    <w:rsid w:val="005D626F"/>
    <w:rsid w:val="005E317D"/>
    <w:rsid w:val="005E6531"/>
    <w:rsid w:val="005F09D0"/>
    <w:rsid w:val="005F19F5"/>
    <w:rsid w:val="005F3573"/>
    <w:rsid w:val="005F7E35"/>
    <w:rsid w:val="0060193C"/>
    <w:rsid w:val="0060615C"/>
    <w:rsid w:val="0060712E"/>
    <w:rsid w:val="00607976"/>
    <w:rsid w:val="00613F0C"/>
    <w:rsid w:val="006148BB"/>
    <w:rsid w:val="0062334F"/>
    <w:rsid w:val="006302F7"/>
    <w:rsid w:val="00630AB6"/>
    <w:rsid w:val="00634A11"/>
    <w:rsid w:val="006373F1"/>
    <w:rsid w:val="00640928"/>
    <w:rsid w:val="00645593"/>
    <w:rsid w:val="00646AE6"/>
    <w:rsid w:val="006508E3"/>
    <w:rsid w:val="00663834"/>
    <w:rsid w:val="006641DC"/>
    <w:rsid w:val="00672ED8"/>
    <w:rsid w:val="00677556"/>
    <w:rsid w:val="00680160"/>
    <w:rsid w:val="00681F14"/>
    <w:rsid w:val="0068314A"/>
    <w:rsid w:val="00684F5B"/>
    <w:rsid w:val="006908D7"/>
    <w:rsid w:val="00695CF3"/>
    <w:rsid w:val="006B0499"/>
    <w:rsid w:val="006B340A"/>
    <w:rsid w:val="006B47EA"/>
    <w:rsid w:val="006B7A22"/>
    <w:rsid w:val="006C113A"/>
    <w:rsid w:val="006C20AD"/>
    <w:rsid w:val="006D12A9"/>
    <w:rsid w:val="006D1CB5"/>
    <w:rsid w:val="006D391F"/>
    <w:rsid w:val="006D431B"/>
    <w:rsid w:val="006D4FA6"/>
    <w:rsid w:val="006D68BB"/>
    <w:rsid w:val="006D7C32"/>
    <w:rsid w:val="006E08B7"/>
    <w:rsid w:val="006E3BCD"/>
    <w:rsid w:val="006E499D"/>
    <w:rsid w:val="006E4A42"/>
    <w:rsid w:val="006F0ECA"/>
    <w:rsid w:val="00702D21"/>
    <w:rsid w:val="00716F53"/>
    <w:rsid w:val="00716F67"/>
    <w:rsid w:val="00723DA1"/>
    <w:rsid w:val="0072621B"/>
    <w:rsid w:val="00727FEA"/>
    <w:rsid w:val="00750670"/>
    <w:rsid w:val="00757A95"/>
    <w:rsid w:val="00761269"/>
    <w:rsid w:val="00765DD7"/>
    <w:rsid w:val="00777FE9"/>
    <w:rsid w:val="00783FC3"/>
    <w:rsid w:val="00787384"/>
    <w:rsid w:val="00790C6F"/>
    <w:rsid w:val="00793714"/>
    <w:rsid w:val="007B55E4"/>
    <w:rsid w:val="007B7567"/>
    <w:rsid w:val="007C24A6"/>
    <w:rsid w:val="007C3937"/>
    <w:rsid w:val="007C4726"/>
    <w:rsid w:val="007C4F38"/>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48C3"/>
    <w:rsid w:val="00802BC4"/>
    <w:rsid w:val="008046FA"/>
    <w:rsid w:val="00804849"/>
    <w:rsid w:val="00810F61"/>
    <w:rsid w:val="00812CE8"/>
    <w:rsid w:val="008131A0"/>
    <w:rsid w:val="0081371C"/>
    <w:rsid w:val="0081635C"/>
    <w:rsid w:val="008168D1"/>
    <w:rsid w:val="00820D67"/>
    <w:rsid w:val="008275D3"/>
    <w:rsid w:val="008313AD"/>
    <w:rsid w:val="00835C86"/>
    <w:rsid w:val="0083653D"/>
    <w:rsid w:val="0084120A"/>
    <w:rsid w:val="008423C5"/>
    <w:rsid w:val="008430C2"/>
    <w:rsid w:val="00845016"/>
    <w:rsid w:val="00845017"/>
    <w:rsid w:val="00847287"/>
    <w:rsid w:val="00854222"/>
    <w:rsid w:val="00854B16"/>
    <w:rsid w:val="008564F6"/>
    <w:rsid w:val="00863F92"/>
    <w:rsid w:val="00877675"/>
    <w:rsid w:val="00880875"/>
    <w:rsid w:val="008A2B65"/>
    <w:rsid w:val="008A430C"/>
    <w:rsid w:val="008A4874"/>
    <w:rsid w:val="008A5D71"/>
    <w:rsid w:val="008B2778"/>
    <w:rsid w:val="008B443B"/>
    <w:rsid w:val="008B557B"/>
    <w:rsid w:val="008B5D0E"/>
    <w:rsid w:val="008B60E5"/>
    <w:rsid w:val="008C0F7A"/>
    <w:rsid w:val="008C665F"/>
    <w:rsid w:val="008C7489"/>
    <w:rsid w:val="008D096F"/>
    <w:rsid w:val="008D2BA0"/>
    <w:rsid w:val="008D75A3"/>
    <w:rsid w:val="008E6348"/>
    <w:rsid w:val="008F2BCA"/>
    <w:rsid w:val="008F5400"/>
    <w:rsid w:val="009149BC"/>
    <w:rsid w:val="00914C35"/>
    <w:rsid w:val="00915E5E"/>
    <w:rsid w:val="00922868"/>
    <w:rsid w:val="00922B3B"/>
    <w:rsid w:val="00930BEE"/>
    <w:rsid w:val="0093757A"/>
    <w:rsid w:val="00943DD1"/>
    <w:rsid w:val="009472C5"/>
    <w:rsid w:val="00950DF4"/>
    <w:rsid w:val="00951F4D"/>
    <w:rsid w:val="009529B6"/>
    <w:rsid w:val="009538A2"/>
    <w:rsid w:val="00953B61"/>
    <w:rsid w:val="00965066"/>
    <w:rsid w:val="00970B1C"/>
    <w:rsid w:val="00983941"/>
    <w:rsid w:val="00991D8C"/>
    <w:rsid w:val="009922C4"/>
    <w:rsid w:val="00994E6D"/>
    <w:rsid w:val="00994EA7"/>
    <w:rsid w:val="009A0CA2"/>
    <w:rsid w:val="009A21E4"/>
    <w:rsid w:val="009A6545"/>
    <w:rsid w:val="009B189D"/>
    <w:rsid w:val="009B2A29"/>
    <w:rsid w:val="009B3EAF"/>
    <w:rsid w:val="009B653A"/>
    <w:rsid w:val="009B6BD1"/>
    <w:rsid w:val="009B78F5"/>
    <w:rsid w:val="009C4426"/>
    <w:rsid w:val="009D1A18"/>
    <w:rsid w:val="009D1FE3"/>
    <w:rsid w:val="009F0105"/>
    <w:rsid w:val="009F3652"/>
    <w:rsid w:val="009F4074"/>
    <w:rsid w:val="00A01651"/>
    <w:rsid w:val="00A0252A"/>
    <w:rsid w:val="00A0273E"/>
    <w:rsid w:val="00A05561"/>
    <w:rsid w:val="00A06B36"/>
    <w:rsid w:val="00A1175D"/>
    <w:rsid w:val="00A12B0C"/>
    <w:rsid w:val="00A20902"/>
    <w:rsid w:val="00A274D5"/>
    <w:rsid w:val="00A343CC"/>
    <w:rsid w:val="00A35A6E"/>
    <w:rsid w:val="00A431E0"/>
    <w:rsid w:val="00A456F4"/>
    <w:rsid w:val="00A45CDC"/>
    <w:rsid w:val="00A5592A"/>
    <w:rsid w:val="00A60074"/>
    <w:rsid w:val="00A61530"/>
    <w:rsid w:val="00A66593"/>
    <w:rsid w:val="00A747A2"/>
    <w:rsid w:val="00A82336"/>
    <w:rsid w:val="00A93883"/>
    <w:rsid w:val="00AA53E3"/>
    <w:rsid w:val="00AA61F9"/>
    <w:rsid w:val="00AA6D1D"/>
    <w:rsid w:val="00AA6F0F"/>
    <w:rsid w:val="00AB3076"/>
    <w:rsid w:val="00AB4A12"/>
    <w:rsid w:val="00AB6B1B"/>
    <w:rsid w:val="00AC20D2"/>
    <w:rsid w:val="00AC3F9A"/>
    <w:rsid w:val="00AC6723"/>
    <w:rsid w:val="00AC7AD0"/>
    <w:rsid w:val="00AD0E0B"/>
    <w:rsid w:val="00AD4BC2"/>
    <w:rsid w:val="00AE2D3C"/>
    <w:rsid w:val="00AE7A31"/>
    <w:rsid w:val="00AF093E"/>
    <w:rsid w:val="00AF6787"/>
    <w:rsid w:val="00AF6DD7"/>
    <w:rsid w:val="00B1048D"/>
    <w:rsid w:val="00B23765"/>
    <w:rsid w:val="00B255B1"/>
    <w:rsid w:val="00B25DD0"/>
    <w:rsid w:val="00B33A4A"/>
    <w:rsid w:val="00B35B85"/>
    <w:rsid w:val="00B363C1"/>
    <w:rsid w:val="00B40E70"/>
    <w:rsid w:val="00B470D8"/>
    <w:rsid w:val="00B55D4F"/>
    <w:rsid w:val="00B570FA"/>
    <w:rsid w:val="00B6121F"/>
    <w:rsid w:val="00B72B1B"/>
    <w:rsid w:val="00B74E89"/>
    <w:rsid w:val="00B83570"/>
    <w:rsid w:val="00B83850"/>
    <w:rsid w:val="00B91801"/>
    <w:rsid w:val="00B94227"/>
    <w:rsid w:val="00B97764"/>
    <w:rsid w:val="00BA173B"/>
    <w:rsid w:val="00BA2553"/>
    <w:rsid w:val="00BB5E3E"/>
    <w:rsid w:val="00BB7A1C"/>
    <w:rsid w:val="00BC5D17"/>
    <w:rsid w:val="00BC746D"/>
    <w:rsid w:val="00BD01AE"/>
    <w:rsid w:val="00BD1CD1"/>
    <w:rsid w:val="00BD390B"/>
    <w:rsid w:val="00BE413C"/>
    <w:rsid w:val="00BE5587"/>
    <w:rsid w:val="00BE6B42"/>
    <w:rsid w:val="00BF72A9"/>
    <w:rsid w:val="00BF7B38"/>
    <w:rsid w:val="00C05B8A"/>
    <w:rsid w:val="00C06232"/>
    <w:rsid w:val="00C12EB1"/>
    <w:rsid w:val="00C157CD"/>
    <w:rsid w:val="00C23A54"/>
    <w:rsid w:val="00C23CE0"/>
    <w:rsid w:val="00C24B95"/>
    <w:rsid w:val="00C2601A"/>
    <w:rsid w:val="00C30933"/>
    <w:rsid w:val="00C30F26"/>
    <w:rsid w:val="00C32B2D"/>
    <w:rsid w:val="00C333BE"/>
    <w:rsid w:val="00C34F60"/>
    <w:rsid w:val="00C36FE5"/>
    <w:rsid w:val="00C37194"/>
    <w:rsid w:val="00C372F4"/>
    <w:rsid w:val="00C45A6E"/>
    <w:rsid w:val="00C46172"/>
    <w:rsid w:val="00C464FA"/>
    <w:rsid w:val="00C51F95"/>
    <w:rsid w:val="00C52DED"/>
    <w:rsid w:val="00C610BB"/>
    <w:rsid w:val="00C61164"/>
    <w:rsid w:val="00C62F14"/>
    <w:rsid w:val="00C63D84"/>
    <w:rsid w:val="00C712DA"/>
    <w:rsid w:val="00C75690"/>
    <w:rsid w:val="00C76BFA"/>
    <w:rsid w:val="00C837F6"/>
    <w:rsid w:val="00C90560"/>
    <w:rsid w:val="00C963A4"/>
    <w:rsid w:val="00C9682C"/>
    <w:rsid w:val="00CA3419"/>
    <w:rsid w:val="00CA547C"/>
    <w:rsid w:val="00CA5829"/>
    <w:rsid w:val="00CB2737"/>
    <w:rsid w:val="00CB2DF6"/>
    <w:rsid w:val="00CC36E2"/>
    <w:rsid w:val="00CC430B"/>
    <w:rsid w:val="00CD6AD1"/>
    <w:rsid w:val="00CE307C"/>
    <w:rsid w:val="00CE39E2"/>
    <w:rsid w:val="00CE6A11"/>
    <w:rsid w:val="00CE79DC"/>
    <w:rsid w:val="00CE7B44"/>
    <w:rsid w:val="00CF10F0"/>
    <w:rsid w:val="00CF157C"/>
    <w:rsid w:val="00CF28D6"/>
    <w:rsid w:val="00D025DD"/>
    <w:rsid w:val="00D06AF1"/>
    <w:rsid w:val="00D11D3C"/>
    <w:rsid w:val="00D1370A"/>
    <w:rsid w:val="00D15BA8"/>
    <w:rsid w:val="00D1643D"/>
    <w:rsid w:val="00D206B0"/>
    <w:rsid w:val="00D21FC8"/>
    <w:rsid w:val="00D30FE4"/>
    <w:rsid w:val="00D34F3B"/>
    <w:rsid w:val="00D367DC"/>
    <w:rsid w:val="00D36B80"/>
    <w:rsid w:val="00D3738E"/>
    <w:rsid w:val="00D405DB"/>
    <w:rsid w:val="00D42343"/>
    <w:rsid w:val="00D45400"/>
    <w:rsid w:val="00D54555"/>
    <w:rsid w:val="00D62BF4"/>
    <w:rsid w:val="00D636B9"/>
    <w:rsid w:val="00D67269"/>
    <w:rsid w:val="00D7317C"/>
    <w:rsid w:val="00D77FDC"/>
    <w:rsid w:val="00D81B36"/>
    <w:rsid w:val="00D904EF"/>
    <w:rsid w:val="00D90631"/>
    <w:rsid w:val="00D93B1D"/>
    <w:rsid w:val="00D949DB"/>
    <w:rsid w:val="00D96D5A"/>
    <w:rsid w:val="00DA10E6"/>
    <w:rsid w:val="00DA2775"/>
    <w:rsid w:val="00DA5A73"/>
    <w:rsid w:val="00DA7C06"/>
    <w:rsid w:val="00DB49D3"/>
    <w:rsid w:val="00DB63D7"/>
    <w:rsid w:val="00DC3378"/>
    <w:rsid w:val="00DC59EE"/>
    <w:rsid w:val="00DC76EC"/>
    <w:rsid w:val="00DD04A1"/>
    <w:rsid w:val="00DD29C2"/>
    <w:rsid w:val="00DE0793"/>
    <w:rsid w:val="00DE13D4"/>
    <w:rsid w:val="00DF1263"/>
    <w:rsid w:val="00E00A61"/>
    <w:rsid w:val="00E02353"/>
    <w:rsid w:val="00E038F4"/>
    <w:rsid w:val="00E04060"/>
    <w:rsid w:val="00E102A6"/>
    <w:rsid w:val="00E11771"/>
    <w:rsid w:val="00E1280C"/>
    <w:rsid w:val="00E13CAB"/>
    <w:rsid w:val="00E17A37"/>
    <w:rsid w:val="00E25700"/>
    <w:rsid w:val="00E3559F"/>
    <w:rsid w:val="00E366CE"/>
    <w:rsid w:val="00E3682C"/>
    <w:rsid w:val="00E37228"/>
    <w:rsid w:val="00E37E4B"/>
    <w:rsid w:val="00E403A7"/>
    <w:rsid w:val="00E520C8"/>
    <w:rsid w:val="00E65487"/>
    <w:rsid w:val="00E6586B"/>
    <w:rsid w:val="00E71C07"/>
    <w:rsid w:val="00E7755E"/>
    <w:rsid w:val="00E87427"/>
    <w:rsid w:val="00E9043E"/>
    <w:rsid w:val="00E91D19"/>
    <w:rsid w:val="00E94912"/>
    <w:rsid w:val="00E94D54"/>
    <w:rsid w:val="00E956F3"/>
    <w:rsid w:val="00EA1AC2"/>
    <w:rsid w:val="00EA5B5E"/>
    <w:rsid w:val="00EB1277"/>
    <w:rsid w:val="00EB162C"/>
    <w:rsid w:val="00EB23AF"/>
    <w:rsid w:val="00EB500B"/>
    <w:rsid w:val="00EB55F6"/>
    <w:rsid w:val="00EB71D4"/>
    <w:rsid w:val="00EC0AE0"/>
    <w:rsid w:val="00EC1ED7"/>
    <w:rsid w:val="00EC534A"/>
    <w:rsid w:val="00ED0A65"/>
    <w:rsid w:val="00ED1091"/>
    <w:rsid w:val="00EE0510"/>
    <w:rsid w:val="00EE22E9"/>
    <w:rsid w:val="00EE2DBD"/>
    <w:rsid w:val="00F11354"/>
    <w:rsid w:val="00F14235"/>
    <w:rsid w:val="00F20441"/>
    <w:rsid w:val="00F327A3"/>
    <w:rsid w:val="00F35672"/>
    <w:rsid w:val="00F42F8A"/>
    <w:rsid w:val="00F43F18"/>
    <w:rsid w:val="00F449DB"/>
    <w:rsid w:val="00F45938"/>
    <w:rsid w:val="00F4652F"/>
    <w:rsid w:val="00F46A0B"/>
    <w:rsid w:val="00F505EE"/>
    <w:rsid w:val="00F50FAE"/>
    <w:rsid w:val="00F512DD"/>
    <w:rsid w:val="00F73E25"/>
    <w:rsid w:val="00F744B3"/>
    <w:rsid w:val="00F82200"/>
    <w:rsid w:val="00F85DA5"/>
    <w:rsid w:val="00F90FD0"/>
    <w:rsid w:val="00F937A4"/>
    <w:rsid w:val="00F97C85"/>
    <w:rsid w:val="00FA018B"/>
    <w:rsid w:val="00FA2C04"/>
    <w:rsid w:val="00FA37AC"/>
    <w:rsid w:val="00FB387A"/>
    <w:rsid w:val="00FB7213"/>
    <w:rsid w:val="00FC05CD"/>
    <w:rsid w:val="00FC087E"/>
    <w:rsid w:val="00FC6EC2"/>
    <w:rsid w:val="00FD0A18"/>
    <w:rsid w:val="00FD7420"/>
    <w:rsid w:val="00FD7EC5"/>
    <w:rsid w:val="00FE00DC"/>
    <w:rsid w:val="00FF3E18"/>
    <w:rsid w:val="00FF6B9C"/>
    <w:rsid w:val="020E7D4D"/>
    <w:rsid w:val="033A53E8"/>
    <w:rsid w:val="03C0453B"/>
    <w:rsid w:val="04262955"/>
    <w:rsid w:val="05785C3B"/>
    <w:rsid w:val="05F6A7AD"/>
    <w:rsid w:val="062F71A8"/>
    <w:rsid w:val="07C3161E"/>
    <w:rsid w:val="08B38E66"/>
    <w:rsid w:val="08E83B7A"/>
    <w:rsid w:val="0A2B36C5"/>
    <w:rsid w:val="0A398115"/>
    <w:rsid w:val="0AC9FD83"/>
    <w:rsid w:val="0AD7011F"/>
    <w:rsid w:val="0B63B4CA"/>
    <w:rsid w:val="0B870298"/>
    <w:rsid w:val="0C3C660B"/>
    <w:rsid w:val="0CD93B4F"/>
    <w:rsid w:val="0D93F456"/>
    <w:rsid w:val="0DB4E9D6"/>
    <w:rsid w:val="0DFB81D5"/>
    <w:rsid w:val="0E9E326E"/>
    <w:rsid w:val="0EF339D5"/>
    <w:rsid w:val="0FC4542F"/>
    <w:rsid w:val="10CC8B82"/>
    <w:rsid w:val="122300B5"/>
    <w:rsid w:val="125370EC"/>
    <w:rsid w:val="126C0717"/>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AEDB81"/>
    <w:rsid w:val="196F5169"/>
    <w:rsid w:val="19FB044B"/>
    <w:rsid w:val="1A262931"/>
    <w:rsid w:val="1A49AB91"/>
    <w:rsid w:val="1C67807C"/>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AC47F8C"/>
    <w:rsid w:val="2C354BA4"/>
    <w:rsid w:val="2CD9A4E8"/>
    <w:rsid w:val="2DC02E73"/>
    <w:rsid w:val="2DFA00CE"/>
    <w:rsid w:val="2E648811"/>
    <w:rsid w:val="2EFD74DF"/>
    <w:rsid w:val="2F437B2E"/>
    <w:rsid w:val="2F53EB8F"/>
    <w:rsid w:val="304E64D8"/>
    <w:rsid w:val="30C3CF56"/>
    <w:rsid w:val="328F8FBA"/>
    <w:rsid w:val="32C37701"/>
    <w:rsid w:val="3523E14C"/>
    <w:rsid w:val="361AD6C3"/>
    <w:rsid w:val="36A895D9"/>
    <w:rsid w:val="3793B563"/>
    <w:rsid w:val="383DB137"/>
    <w:rsid w:val="38528AF5"/>
    <w:rsid w:val="394C40E9"/>
    <w:rsid w:val="3C2EB605"/>
    <w:rsid w:val="3C3A89E0"/>
    <w:rsid w:val="3C82E9E5"/>
    <w:rsid w:val="3CDBCAB0"/>
    <w:rsid w:val="3E57DA35"/>
    <w:rsid w:val="3ED4837E"/>
    <w:rsid w:val="3ED8D6B8"/>
    <w:rsid w:val="406AE17A"/>
    <w:rsid w:val="40B3842E"/>
    <w:rsid w:val="416E29B8"/>
    <w:rsid w:val="4379D15B"/>
    <w:rsid w:val="43DA925D"/>
    <w:rsid w:val="43EBFB57"/>
    <w:rsid w:val="43F13C1E"/>
    <w:rsid w:val="44A5966B"/>
    <w:rsid w:val="457CAAE6"/>
    <w:rsid w:val="46AD3598"/>
    <w:rsid w:val="47187B47"/>
    <w:rsid w:val="47966D75"/>
    <w:rsid w:val="47C8436A"/>
    <w:rsid w:val="47D0FA3E"/>
    <w:rsid w:val="47F64839"/>
    <w:rsid w:val="48801D11"/>
    <w:rsid w:val="490ADA4F"/>
    <w:rsid w:val="499AF727"/>
    <w:rsid w:val="4A2E4296"/>
    <w:rsid w:val="4AD815FD"/>
    <w:rsid w:val="4B793983"/>
    <w:rsid w:val="4C071D52"/>
    <w:rsid w:val="4CD4C2AF"/>
    <w:rsid w:val="4D157A3F"/>
    <w:rsid w:val="4D2F59BD"/>
    <w:rsid w:val="4D5B17A7"/>
    <w:rsid w:val="4D8582A8"/>
    <w:rsid w:val="4D99B616"/>
    <w:rsid w:val="4E9310BE"/>
    <w:rsid w:val="4EF6E808"/>
    <w:rsid w:val="4FC9CB70"/>
    <w:rsid w:val="5092B869"/>
    <w:rsid w:val="52105F66"/>
    <w:rsid w:val="52DCDE05"/>
    <w:rsid w:val="534F2023"/>
    <w:rsid w:val="542DF0EA"/>
    <w:rsid w:val="55025242"/>
    <w:rsid w:val="56041F60"/>
    <w:rsid w:val="572073A3"/>
    <w:rsid w:val="58138412"/>
    <w:rsid w:val="589423A4"/>
    <w:rsid w:val="58B8CE70"/>
    <w:rsid w:val="59E2DE34"/>
    <w:rsid w:val="5A011DD2"/>
    <w:rsid w:val="5A22FA00"/>
    <w:rsid w:val="5A2FF405"/>
    <w:rsid w:val="5A45F86F"/>
    <w:rsid w:val="5A93F8C8"/>
    <w:rsid w:val="5B4A41D4"/>
    <w:rsid w:val="5C9CB0DF"/>
    <w:rsid w:val="5CCC303A"/>
    <w:rsid w:val="5D780A4C"/>
    <w:rsid w:val="5F27608B"/>
    <w:rsid w:val="5F9DCF3D"/>
    <w:rsid w:val="605003C3"/>
    <w:rsid w:val="61D9003A"/>
    <w:rsid w:val="651B6A95"/>
    <w:rsid w:val="654D3062"/>
    <w:rsid w:val="6555C5B2"/>
    <w:rsid w:val="660C38FF"/>
    <w:rsid w:val="66AFED9E"/>
    <w:rsid w:val="672E847F"/>
    <w:rsid w:val="6868B125"/>
    <w:rsid w:val="69E2FEB1"/>
    <w:rsid w:val="6A3F9DF2"/>
    <w:rsid w:val="6B2F94A4"/>
    <w:rsid w:val="6BD2667D"/>
    <w:rsid w:val="6BF3EC79"/>
    <w:rsid w:val="6BFC0830"/>
    <w:rsid w:val="6C9C7BBB"/>
    <w:rsid w:val="6D561519"/>
    <w:rsid w:val="6D62125B"/>
    <w:rsid w:val="6DC73A6D"/>
    <w:rsid w:val="6E156645"/>
    <w:rsid w:val="70504B9A"/>
    <w:rsid w:val="705673BA"/>
    <w:rsid w:val="71DFE3AB"/>
    <w:rsid w:val="72FF81B9"/>
    <w:rsid w:val="73144B74"/>
    <w:rsid w:val="73826660"/>
    <w:rsid w:val="7419C5C1"/>
    <w:rsid w:val="74318992"/>
    <w:rsid w:val="746D640B"/>
    <w:rsid w:val="7485B36E"/>
    <w:rsid w:val="75D33BC5"/>
    <w:rsid w:val="761121F2"/>
    <w:rsid w:val="7645270C"/>
    <w:rsid w:val="76AEF26E"/>
    <w:rsid w:val="76E0F65C"/>
    <w:rsid w:val="775A1D57"/>
    <w:rsid w:val="77776E4F"/>
    <w:rsid w:val="796035EE"/>
    <w:rsid w:val="79DE02D5"/>
    <w:rsid w:val="7B15C58E"/>
    <w:rsid w:val="7B27CF16"/>
    <w:rsid w:val="7C3D79CC"/>
    <w:rsid w:val="7C45806E"/>
    <w:rsid w:val="7C8F0FD8"/>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95"/>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874848560">
      <w:bodyDiv w:val="1"/>
      <w:marLeft w:val="0"/>
      <w:marRight w:val="0"/>
      <w:marTop w:val="0"/>
      <w:marBottom w:val="0"/>
      <w:divBdr>
        <w:top w:val="none" w:sz="0" w:space="0" w:color="auto"/>
        <w:left w:val="none" w:sz="0" w:space="0" w:color="auto"/>
        <w:bottom w:val="none" w:sz="0" w:space="0" w:color="auto"/>
        <w:right w:val="none" w:sz="0" w:space="0" w:color="auto"/>
      </w:divBdr>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942BF.7F7CEAA0" TargetMode="External"/><Relationship Id="rId17" Type="http://schemas.openxmlformats.org/officeDocument/2006/relationships/hyperlink" Target="https://www.poettinger.at/fr_fr/services/downloadcenter" TargetMode="External"/><Relationship Id="rId2" Type="http://schemas.openxmlformats.org/officeDocument/2006/relationships/customXml" Target="../customXml/item2.xml"/><Relationship Id="rId16" Type="http://schemas.openxmlformats.org/officeDocument/2006/relationships/hyperlink" Target="https://www.poettinger.at/fr_fr/newsroom/pressebild/904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fr_fr/newsroom/pressebild/9044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jpg@01D942BF.7F7CEAA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91D6E57F-DB64-4D03-8811-8BA01D5BD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4.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3918</Characters>
  <Application>Microsoft Office Word</Application>
  <DocSecurity>0</DocSecurity>
  <Lines>32</Lines>
  <Paragraphs>9</Paragraphs>
  <ScaleCrop>false</ScaleCrop>
  <Company>PÖTTINGER Landtechnik GmbH</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T 6000 On-Land</dc:title>
  <dc:creator>steiing</dc:creator>
  <cp:lastModifiedBy>Dutter Dorothee</cp:lastModifiedBy>
  <cp:revision>4</cp:revision>
  <cp:lastPrinted>2022-12-14T10:11:00Z</cp:lastPrinted>
  <dcterms:created xsi:type="dcterms:W3CDTF">2023-02-17T13:45:00Z</dcterms:created>
  <dcterms:modified xsi:type="dcterms:W3CDTF">2023-02-17T15:08:00Z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