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4078" w14:textId="10D8AB9F" w:rsidR="00676EA6" w:rsidRPr="00F97B4E" w:rsidRDefault="002A5C16" w:rsidP="0056117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EUROPROFI COMBILINE ze zmienioną ścianą przednią</w:t>
      </w:r>
    </w:p>
    <w:p w14:paraId="3EBCB5C0" w14:textId="77777777" w:rsidR="00C45CB0" w:rsidRDefault="002F062C" w:rsidP="0008046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Od dziesięcioleci wielofunkcyjne przyczepy rotorowe EUROPROFI COMBILINE zapewniają niezawodność działania, wydajność, opłacalnoś</w:t>
      </w:r>
      <w:r w:rsidR="00C45CB0">
        <w:rPr>
          <w:rFonts w:ascii="Arial" w:hAnsi="Arial"/>
        </w:rPr>
        <w:t>ć</w:t>
      </w:r>
    </w:p>
    <w:p w14:paraId="31A674B9" w14:textId="68956B4D" w:rsidR="00F400A6" w:rsidRPr="00F97B4E" w:rsidRDefault="002F062C" w:rsidP="000804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i komfort pracy podczas zielonych żniw. Te wielozadaniowe przyczepy są dostępne w wersji bez lub z systemem dozowanego rozładunku. 35 noży gwarantuje w każdym modelu cięcie na odcinki o teoretycznej długości 39 mm. Aby sprostać wysokim wymaganiom praktyki, specjalista w konstruowaniu przyczep samozbierających ulepszył EUROPROFI o kolejny detal: nową ścianę przednią zapewniająca większy komfort obsługi i wszechstronność zastosowania.</w:t>
      </w:r>
    </w:p>
    <w:p w14:paraId="65B1AA0B" w14:textId="77777777" w:rsidR="00F400A6" w:rsidRPr="00C45CB0" w:rsidRDefault="00F400A6" w:rsidP="0008046E">
      <w:pPr>
        <w:spacing w:line="360" w:lineRule="auto"/>
        <w:jc w:val="both"/>
        <w:rPr>
          <w:rFonts w:ascii="Arial" w:hAnsi="Arial" w:cs="Arial"/>
        </w:rPr>
      </w:pPr>
    </w:p>
    <w:p w14:paraId="07287FCD" w14:textId="5439ED27" w:rsidR="00464142" w:rsidRDefault="0044764D" w:rsidP="000804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Dzięki przekonstruowanej geometrii ściany przedniej można lepiej ustawić klapę zagęszczającą paszę. Naprężona przy pomocy sprężyn klapa steruje automatyką załadunku. W razie potrzeby czujnik uruchamia opóźnienie czasowe. 2.000 mm klapa zagęszczająca zapewnia perfekcyjne wypełnienie przestrzeni załadunkowej, również w jej bocznych przestrzeniach. W przypadku wyposażenia standardowego są dwie pozycje podstawowe ustawiane ręcznie. Na życzenie pochylenie klapy można regulować bezstopniowo, hydraulicznie. W tym przypadku  klapa może być również całkowicie schowana tak, żeby cały górny otwór przestrzeni załadunkowej, przy wykorzystaniu przyczepy do transportu sieczki, był wolny. Dostępne na życzenie linki dachowe są łatwe w montażu. </w:t>
      </w:r>
    </w:p>
    <w:p w14:paraId="44A4FF6E" w14:textId="586B04CC" w:rsidR="007C5D55" w:rsidRDefault="007C5D55" w:rsidP="005B55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Dla maksymalnej ochrony paszy, na życzenie dostępny jest czujnik momentu obrotowego na rotorze. Jest on szczególnie przydatny w przypadku mokrej, ciężkiej paszy, gdy z</w:t>
      </w:r>
      <w:r w:rsidR="00C45CB0">
        <w:rPr>
          <w:rFonts w:ascii="Arial" w:hAnsi="Arial"/>
        </w:rPr>
        <w:t>e</w:t>
      </w:r>
      <w:r>
        <w:rPr>
          <w:rFonts w:ascii="Arial" w:hAnsi="Arial"/>
        </w:rPr>
        <w:t>brana masa nie sięga do klapy zagęszczającej. Można wówczas wyregulować automatykę załadunku lub podłogi rusztowej odpowiednio do momentu obrotowego. Umożliwia to wypełnienie przyczepy przy zachowaniu możliwie najlepszej struktury paszy, również w trudnych warunkach pracy.</w:t>
      </w:r>
    </w:p>
    <w:p w14:paraId="2971EB49" w14:textId="3F4E81AE" w:rsidR="00772021" w:rsidRDefault="00ED30F6" w:rsidP="007720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Odpowiednio do celu pracy, operator z siedzenia w kabinie ciągnika może dobrać odpowiednią strategię napełnienia. </w:t>
      </w:r>
    </w:p>
    <w:p w14:paraId="32B474D4" w14:textId="148B5AB2" w:rsidR="002D7A16" w:rsidRPr="00400CD9" w:rsidRDefault="002D7A16" w:rsidP="002D7A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Firmie Pöttinger z powodzeniem udało się połączyć sprawdzone i cenione przez praktyków rozwiązania (jak</w:t>
      </w:r>
      <w:r w:rsidR="00C45CB0">
        <w:rPr>
          <w:rFonts w:ascii="Arial" w:hAnsi="Arial"/>
        </w:rPr>
        <w:t xml:space="preserve"> </w:t>
      </w:r>
      <w:r>
        <w:rPr>
          <w:rFonts w:ascii="Arial" w:hAnsi="Arial"/>
        </w:rPr>
        <w:t>np. belkę nożową POWERCUT, opatentowany mechanizm wychylenia belki ,,EASYMOVE", czy 6-rzędowy wahliwy podbieracz lub dodatkową rolkę kopiującą) z now</w:t>
      </w:r>
      <w:r w:rsidR="00C45CB0">
        <w:rPr>
          <w:rFonts w:ascii="Arial" w:hAnsi="Arial"/>
        </w:rPr>
        <w:t>ymi rozwiązaniami</w:t>
      </w:r>
      <w:r>
        <w:rPr>
          <w:rFonts w:ascii="Arial" w:hAnsi="Arial"/>
        </w:rPr>
        <w:t xml:space="preserve"> - wszystko dla uzyskania najlepszej paszy. </w:t>
      </w:r>
    </w:p>
    <w:p w14:paraId="39481C64" w14:textId="56E5E6ED" w:rsidR="00ED30F6" w:rsidRPr="00C45CB0" w:rsidRDefault="00ED30F6" w:rsidP="005B556D">
      <w:pPr>
        <w:spacing w:line="360" w:lineRule="auto"/>
        <w:jc w:val="both"/>
        <w:rPr>
          <w:rFonts w:ascii="Arial" w:hAnsi="Arial" w:cs="Arial"/>
        </w:rPr>
      </w:pPr>
    </w:p>
    <w:p w14:paraId="1EC4C5DB" w14:textId="102B4F7A" w:rsidR="00F64A87" w:rsidRPr="002801A7" w:rsidRDefault="00F400A6" w:rsidP="005B55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Wielozadaniowe, wydajne przyczepy rotorowe EUROPROFI COMBILINE dzięki swojej ekonomiczności cieszą się zainteresowaniem zarówno indywidualnych gospodarstw, jak i kółek maszynowych. </w:t>
      </w:r>
    </w:p>
    <w:p w14:paraId="42B4A58E" w14:textId="77777777" w:rsidR="006716C5" w:rsidRPr="00C45CB0" w:rsidRDefault="006716C5" w:rsidP="005B556D">
      <w:pPr>
        <w:spacing w:line="360" w:lineRule="auto"/>
        <w:jc w:val="both"/>
        <w:rPr>
          <w:rFonts w:ascii="Arial" w:hAnsi="Arial" w:cs="Arial"/>
          <w:color w:val="404040"/>
          <w:spacing w:val="6"/>
          <w:shd w:val="clear" w:color="auto" w:fill="FFFFFF"/>
        </w:rPr>
      </w:pPr>
    </w:p>
    <w:p w14:paraId="1BE4CFAB" w14:textId="67EF50FE" w:rsidR="00D32A7E" w:rsidRDefault="00D32A7E" w:rsidP="009F2759">
      <w:pPr>
        <w:spacing w:after="120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b/>
        </w:rPr>
        <w:t xml:space="preserve">Podgląd zdjęć: </w:t>
      </w:r>
      <w:r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17DD6" w14:paraId="476C3D4E" w14:textId="77777777" w:rsidTr="00096C88">
        <w:trPr>
          <w:trHeight w:val="1644"/>
        </w:trPr>
        <w:tc>
          <w:tcPr>
            <w:tcW w:w="4131" w:type="dxa"/>
          </w:tcPr>
          <w:p w14:paraId="091044DC" w14:textId="77777777" w:rsidR="00617DD6" w:rsidRDefault="00617DD6" w:rsidP="00096C88">
            <w:pPr>
              <w:spacing w:line="360" w:lineRule="auto"/>
              <w:jc w:val="center"/>
              <w:rPr>
                <w:rFonts w:ascii="Arial" w:eastAsia="Calibri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704456" wp14:editId="3DFA53B6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168910</wp:posOffset>
                  </wp:positionV>
                  <wp:extent cx="1143000" cy="762000"/>
                  <wp:effectExtent l="0" t="0" r="0" b="0"/>
                  <wp:wrapNone/>
                  <wp:docPr id="4" name="Grafik 4" descr="Ein Bild, das Gras, Himmel, draußen, LKW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Gras, Himmel, draußen, LKW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3" w:type="dxa"/>
          </w:tcPr>
          <w:p w14:paraId="502E5FD9" w14:textId="77777777" w:rsidR="00617DD6" w:rsidRPr="002335AA" w:rsidRDefault="00617DD6" w:rsidP="00096C88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6A36FF" wp14:editId="50CCB239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168910</wp:posOffset>
                  </wp:positionV>
                  <wp:extent cx="1143000" cy="762000"/>
                  <wp:effectExtent l="0" t="0" r="0" b="0"/>
                  <wp:wrapNone/>
                  <wp:docPr id="1" name="Grafik 1" descr="Ein Bild, das gelb, Löffelbagg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gelb, Löffelbagg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1FDCF4" w14:textId="77777777" w:rsidR="00617DD6" w:rsidRDefault="00617DD6" w:rsidP="00096C88">
            <w:pPr>
              <w:spacing w:line="360" w:lineRule="auto"/>
              <w:jc w:val="center"/>
              <w:rPr>
                <w:rFonts w:ascii="Arial" w:eastAsia="Calibri" w:hAnsi="Arial" w:cs="Arial"/>
                <w:lang w:val="de-DE"/>
              </w:rPr>
            </w:pPr>
          </w:p>
        </w:tc>
      </w:tr>
      <w:tr w:rsidR="00617DD6" w:rsidRPr="00617DD6" w14:paraId="1612BFE0" w14:textId="77777777" w:rsidTr="00096C88">
        <w:trPr>
          <w:trHeight w:val="646"/>
        </w:trPr>
        <w:tc>
          <w:tcPr>
            <w:tcW w:w="4131" w:type="dxa"/>
          </w:tcPr>
          <w:p w14:paraId="1E78A9D0" w14:textId="77777777" w:rsidR="00617DD6" w:rsidRPr="00E0623D" w:rsidRDefault="00617DD6" w:rsidP="00096C8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E0623D">
              <w:rPr>
                <w:rFonts w:ascii="Arial" w:eastAsia="Calibri" w:hAnsi="Arial" w:cs="Arial"/>
                <w:sz w:val="22"/>
                <w:szCs w:val="22"/>
                <w:lang w:val="de-DE"/>
              </w:rPr>
              <w:t>EUROPROFI 5010 L COMBILINE</w:t>
            </w:r>
          </w:p>
        </w:tc>
        <w:tc>
          <w:tcPr>
            <w:tcW w:w="4133" w:type="dxa"/>
          </w:tcPr>
          <w:p w14:paraId="16174730" w14:textId="22CD9374" w:rsidR="00617DD6" w:rsidRPr="00617DD6" w:rsidRDefault="00617DD6" w:rsidP="00096C8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Przekonstruowana ściana przednia zapewnia jeszcze większą opłacalność zbioru</w:t>
            </w:r>
          </w:p>
        </w:tc>
      </w:tr>
      <w:tr w:rsidR="00617DD6" w:rsidRPr="00617DD6" w14:paraId="1256365D" w14:textId="77777777" w:rsidTr="00096C88">
        <w:trPr>
          <w:trHeight w:val="467"/>
        </w:trPr>
        <w:tc>
          <w:tcPr>
            <w:tcW w:w="4131" w:type="dxa"/>
          </w:tcPr>
          <w:p w14:paraId="6857BA22" w14:textId="77777777" w:rsidR="00617DD6" w:rsidRPr="001A66AC" w:rsidRDefault="00617DD6" w:rsidP="00096C8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hyperlink r:id="rId9" w:history="1">
              <w:r w:rsidRPr="001A66AC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de-DE"/>
                </w:rPr>
                <w:t>https://www.poettinger.at/de_at/Newsroom/Pressebild/5097</w:t>
              </w:r>
            </w:hyperlink>
          </w:p>
        </w:tc>
        <w:tc>
          <w:tcPr>
            <w:tcW w:w="4133" w:type="dxa"/>
          </w:tcPr>
          <w:p w14:paraId="088C8851" w14:textId="77777777" w:rsidR="00617DD6" w:rsidRPr="002335AA" w:rsidRDefault="00617DD6" w:rsidP="00096C8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hyperlink r:id="rId10" w:history="1">
              <w:r w:rsidRPr="00C14EC6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de-DE"/>
                </w:rPr>
                <w:t>https://www.poettinger.at/de_at/Newsroom/Pressebild/5136</w:t>
              </w:r>
            </w:hyperlink>
          </w:p>
        </w:tc>
      </w:tr>
    </w:tbl>
    <w:p w14:paraId="63031A2E" w14:textId="77777777" w:rsidR="00617DD6" w:rsidRPr="00617DD6" w:rsidRDefault="00617DD6" w:rsidP="009F2759">
      <w:pPr>
        <w:spacing w:after="120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14:paraId="49FF219A" w14:textId="13D5D59D" w:rsidR="00E0623D" w:rsidRPr="00C45CB0" w:rsidRDefault="00E0623D" w:rsidP="00D32A7E">
      <w:pPr>
        <w:spacing w:line="360" w:lineRule="auto"/>
        <w:rPr>
          <w:rFonts w:ascii="Arial" w:eastAsia="Calibri" w:hAnsi="Arial" w:cs="Arial"/>
        </w:rPr>
      </w:pPr>
    </w:p>
    <w:p w14:paraId="0D70A9C0" w14:textId="34FC4720" w:rsidR="002251D7" w:rsidRDefault="002251D7" w:rsidP="00D32A7E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/>
        </w:rPr>
        <w:t>Pozostałe zdjęcia w jakości do druku: https://www.poettinger.at/presse</w:t>
      </w:r>
    </w:p>
    <w:p w14:paraId="4D415DCF" w14:textId="3215400A" w:rsidR="002251D7" w:rsidRDefault="00617DD6" w:rsidP="00D32A7E">
      <w:pPr>
        <w:spacing w:line="360" w:lineRule="auto"/>
        <w:rPr>
          <w:rFonts w:ascii="Arial" w:eastAsia="Calibri" w:hAnsi="Arial" w:cs="Arial"/>
        </w:rPr>
      </w:pPr>
      <w:hyperlink r:id="rId11" w:history="1">
        <w:r w:rsidR="000E5F67">
          <w:rPr>
            <w:rStyle w:val="Hyperlink"/>
            <w:rFonts w:ascii="Arial" w:hAnsi="Arial"/>
          </w:rPr>
          <w:t>www.poettinger.at/presse</w:t>
        </w:r>
      </w:hyperlink>
    </w:p>
    <w:p w14:paraId="4384B560" w14:textId="6A06FABE" w:rsidR="002251D7" w:rsidRDefault="002251D7" w:rsidP="00D32A7E">
      <w:pPr>
        <w:spacing w:line="360" w:lineRule="auto"/>
        <w:rPr>
          <w:rFonts w:ascii="Arial" w:eastAsia="Calibri" w:hAnsi="Arial" w:cs="Arial"/>
          <w:lang w:val="de-DE"/>
        </w:rPr>
      </w:pPr>
    </w:p>
    <w:sectPr w:rsidR="002251D7" w:rsidSect="00016DC5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641A00" w:rsidRDefault="00641A00" w:rsidP="00641A00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7D2A1878" w14:textId="6127F2A8" w:rsidR="00641A00" w:rsidRDefault="00641A00" w:rsidP="00641A00">
    <w:pPr>
      <w:pStyle w:val="Fuzeile"/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6CC8BE4B" w:rsidR="004252B8" w:rsidRDefault="00641A00" w:rsidP="00641A00">
    <w:pPr>
      <w:pStyle w:val="Kopfzeile"/>
      <w:rPr>
        <w:rFonts w:ascii="Arial" w:hAnsi="Arial" w:cs="Arial"/>
      </w:rPr>
    </w:pPr>
    <w:r>
      <w:rPr>
        <w:rFonts w:ascii="Arial" w:hAnsi="Arial"/>
        <w:b/>
        <w:bCs/>
        <w:iCs/>
      </w:rPr>
      <w:t xml:space="preserve">Informacja prasowa                                       </w:t>
    </w:r>
    <w:r>
      <w:rPr>
        <w:noProof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2C54FB12" w:rsidR="004252B8" w:rsidRDefault="004252B8">
    <w:pPr>
      <w:pStyle w:val="Kopfzeile"/>
    </w:pPr>
  </w:p>
  <w:p w14:paraId="53309E4E" w14:textId="77777777" w:rsidR="00842922" w:rsidRDefault="008429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4085"/>
    <w:rsid w:val="00005846"/>
    <w:rsid w:val="000078AD"/>
    <w:rsid w:val="00016DC5"/>
    <w:rsid w:val="00021041"/>
    <w:rsid w:val="0008046E"/>
    <w:rsid w:val="00083649"/>
    <w:rsid w:val="00096461"/>
    <w:rsid w:val="000B5009"/>
    <w:rsid w:val="000E5F67"/>
    <w:rsid w:val="00157D54"/>
    <w:rsid w:val="001857B9"/>
    <w:rsid w:val="00187AA1"/>
    <w:rsid w:val="001975EA"/>
    <w:rsid w:val="001A226F"/>
    <w:rsid w:val="001B3480"/>
    <w:rsid w:val="001C12F3"/>
    <w:rsid w:val="001C7206"/>
    <w:rsid w:val="00202DFB"/>
    <w:rsid w:val="002206B9"/>
    <w:rsid w:val="002251D7"/>
    <w:rsid w:val="00247B0D"/>
    <w:rsid w:val="002801A7"/>
    <w:rsid w:val="00283EB3"/>
    <w:rsid w:val="002A0D10"/>
    <w:rsid w:val="002A5C16"/>
    <w:rsid w:val="002D7A16"/>
    <w:rsid w:val="002E3DEE"/>
    <w:rsid w:val="002F062C"/>
    <w:rsid w:val="00366C56"/>
    <w:rsid w:val="00371E2E"/>
    <w:rsid w:val="003953C1"/>
    <w:rsid w:val="003C7719"/>
    <w:rsid w:val="003D4653"/>
    <w:rsid w:val="003D5FF9"/>
    <w:rsid w:val="003E2A12"/>
    <w:rsid w:val="00400CD9"/>
    <w:rsid w:val="004252B8"/>
    <w:rsid w:val="00427AA6"/>
    <w:rsid w:val="0044764D"/>
    <w:rsid w:val="00463FBD"/>
    <w:rsid w:val="00464142"/>
    <w:rsid w:val="00472520"/>
    <w:rsid w:val="00472869"/>
    <w:rsid w:val="00474A1F"/>
    <w:rsid w:val="00497643"/>
    <w:rsid w:val="004B30B2"/>
    <w:rsid w:val="004B32A1"/>
    <w:rsid w:val="004D2C42"/>
    <w:rsid w:val="004D5DA2"/>
    <w:rsid w:val="004F1B75"/>
    <w:rsid w:val="00516A7E"/>
    <w:rsid w:val="00523ACE"/>
    <w:rsid w:val="00561174"/>
    <w:rsid w:val="00581717"/>
    <w:rsid w:val="00583E92"/>
    <w:rsid w:val="005B556D"/>
    <w:rsid w:val="005C0BA9"/>
    <w:rsid w:val="005E3DD3"/>
    <w:rsid w:val="005E6656"/>
    <w:rsid w:val="00617DD6"/>
    <w:rsid w:val="00625AA7"/>
    <w:rsid w:val="00641A00"/>
    <w:rsid w:val="00660695"/>
    <w:rsid w:val="0067004A"/>
    <w:rsid w:val="006716C5"/>
    <w:rsid w:val="00676EA6"/>
    <w:rsid w:val="00684248"/>
    <w:rsid w:val="006A03CD"/>
    <w:rsid w:val="006C0CFB"/>
    <w:rsid w:val="006C21AE"/>
    <w:rsid w:val="006E583E"/>
    <w:rsid w:val="00707052"/>
    <w:rsid w:val="00714691"/>
    <w:rsid w:val="00722000"/>
    <w:rsid w:val="007345D4"/>
    <w:rsid w:val="007401C0"/>
    <w:rsid w:val="007419F7"/>
    <w:rsid w:val="00746691"/>
    <w:rsid w:val="0075326F"/>
    <w:rsid w:val="00772021"/>
    <w:rsid w:val="00782722"/>
    <w:rsid w:val="00784762"/>
    <w:rsid w:val="0079090E"/>
    <w:rsid w:val="00796F62"/>
    <w:rsid w:val="007A02DA"/>
    <w:rsid w:val="007C10A3"/>
    <w:rsid w:val="007C3E4A"/>
    <w:rsid w:val="007C5D55"/>
    <w:rsid w:val="008015BA"/>
    <w:rsid w:val="00842922"/>
    <w:rsid w:val="00865610"/>
    <w:rsid w:val="00891BFB"/>
    <w:rsid w:val="00892784"/>
    <w:rsid w:val="008A4E9C"/>
    <w:rsid w:val="008A6142"/>
    <w:rsid w:val="008A683D"/>
    <w:rsid w:val="008D60DC"/>
    <w:rsid w:val="00900919"/>
    <w:rsid w:val="00906512"/>
    <w:rsid w:val="00912E24"/>
    <w:rsid w:val="00925E8D"/>
    <w:rsid w:val="00940057"/>
    <w:rsid w:val="00960692"/>
    <w:rsid w:val="00964BE8"/>
    <w:rsid w:val="009934AB"/>
    <w:rsid w:val="009A1C73"/>
    <w:rsid w:val="009B0F95"/>
    <w:rsid w:val="009F2759"/>
    <w:rsid w:val="00A1041A"/>
    <w:rsid w:val="00A216BE"/>
    <w:rsid w:val="00A444A6"/>
    <w:rsid w:val="00AB3B8B"/>
    <w:rsid w:val="00AB4A9D"/>
    <w:rsid w:val="00AC024A"/>
    <w:rsid w:val="00AD4560"/>
    <w:rsid w:val="00AF3911"/>
    <w:rsid w:val="00B23E44"/>
    <w:rsid w:val="00B37935"/>
    <w:rsid w:val="00B43E9E"/>
    <w:rsid w:val="00B46013"/>
    <w:rsid w:val="00B47DBB"/>
    <w:rsid w:val="00BC2BE2"/>
    <w:rsid w:val="00BC7F96"/>
    <w:rsid w:val="00BD1CA5"/>
    <w:rsid w:val="00C240D0"/>
    <w:rsid w:val="00C34C52"/>
    <w:rsid w:val="00C45CB0"/>
    <w:rsid w:val="00C529DB"/>
    <w:rsid w:val="00C576A7"/>
    <w:rsid w:val="00C85680"/>
    <w:rsid w:val="00C93C33"/>
    <w:rsid w:val="00CC756E"/>
    <w:rsid w:val="00CD6A8B"/>
    <w:rsid w:val="00CE5ACD"/>
    <w:rsid w:val="00D16EBD"/>
    <w:rsid w:val="00D2330A"/>
    <w:rsid w:val="00D32A7E"/>
    <w:rsid w:val="00D76980"/>
    <w:rsid w:val="00D8026D"/>
    <w:rsid w:val="00D80947"/>
    <w:rsid w:val="00D946B4"/>
    <w:rsid w:val="00D950ED"/>
    <w:rsid w:val="00DB36CB"/>
    <w:rsid w:val="00DC1DA9"/>
    <w:rsid w:val="00DE45B7"/>
    <w:rsid w:val="00DE52CE"/>
    <w:rsid w:val="00E0623D"/>
    <w:rsid w:val="00E6284A"/>
    <w:rsid w:val="00E673E6"/>
    <w:rsid w:val="00E67DAD"/>
    <w:rsid w:val="00E75C0C"/>
    <w:rsid w:val="00E778A0"/>
    <w:rsid w:val="00EA5BE5"/>
    <w:rsid w:val="00ED30F6"/>
    <w:rsid w:val="00EE2905"/>
    <w:rsid w:val="00EF4B8D"/>
    <w:rsid w:val="00EF4E62"/>
    <w:rsid w:val="00F05D72"/>
    <w:rsid w:val="00F20520"/>
    <w:rsid w:val="00F24526"/>
    <w:rsid w:val="00F31E4A"/>
    <w:rsid w:val="00F400A6"/>
    <w:rsid w:val="00F435FD"/>
    <w:rsid w:val="00F46987"/>
    <w:rsid w:val="00F64A87"/>
    <w:rsid w:val="00F97B4E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pl-PL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pl-PL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rsid w:val="00D3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5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509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2625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LION C</vt:lpstr>
    </vt:vector>
  </TitlesOfParts>
  <Company>PÖTTINGER Landtechnik GmbH.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EUROPROFI</dc:title>
  <dc:subject/>
  <dc:creator>steiing</dc:creator>
  <cp:keywords/>
  <dc:description/>
  <cp:lastModifiedBy>Steibl Inge</cp:lastModifiedBy>
  <cp:revision>2</cp:revision>
  <cp:lastPrinted>2019-02-15T08:01:00Z</cp:lastPrinted>
  <dcterms:created xsi:type="dcterms:W3CDTF">2022-02-14T11:46:00Z</dcterms:created>
  <dcterms:modified xsi:type="dcterms:W3CDTF">2022-02-14T11:46:00Z</dcterms:modified>
</cp:coreProperties>
</file>