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91CF" w14:textId="77081FF3" w:rsidR="00A74A61" w:rsidRPr="003D78EE" w:rsidRDefault="003D78EE" w:rsidP="009C500C">
      <w:pPr>
        <w:spacing w:line="360" w:lineRule="auto"/>
        <w:rPr>
          <w:rFonts w:ascii="Arial" w:hAnsi="Arial"/>
          <w:iCs/>
          <w:lang w:val="ru-RU" w:eastAsia="en-US"/>
        </w:rPr>
      </w:pPr>
      <w:r w:rsidRPr="003D78EE">
        <w:rPr>
          <w:rFonts w:ascii="Arial" w:hAnsi="Arial"/>
          <w:iCs/>
          <w:sz w:val="36"/>
          <w:szCs w:val="36"/>
          <w:lang w:val="ru-RU" w:eastAsia="en-US"/>
        </w:rPr>
        <w:t xml:space="preserve">Испытательный центр </w:t>
      </w:r>
      <w:r w:rsidRPr="003D78EE">
        <w:rPr>
          <w:rFonts w:ascii="Arial" w:hAnsi="Arial"/>
          <w:iCs/>
          <w:sz w:val="36"/>
          <w:szCs w:val="36"/>
          <w:lang w:val="de-AT" w:eastAsia="en-US"/>
        </w:rPr>
        <w:t>P</w:t>
      </w:r>
      <w:r w:rsidRPr="003D78EE">
        <w:rPr>
          <w:rFonts w:ascii="Arial" w:hAnsi="Arial"/>
          <w:iCs/>
          <w:sz w:val="36"/>
          <w:szCs w:val="36"/>
          <w:lang w:val="ru-RU" w:eastAsia="en-US"/>
        </w:rPr>
        <w:t>ö</w:t>
      </w:r>
      <w:proofErr w:type="spellStart"/>
      <w:r w:rsidRPr="003D78EE">
        <w:rPr>
          <w:rFonts w:ascii="Arial" w:hAnsi="Arial"/>
          <w:iCs/>
          <w:sz w:val="36"/>
          <w:szCs w:val="36"/>
          <w:lang w:val="de-AT" w:eastAsia="en-US"/>
        </w:rPr>
        <w:t>ttinger</w:t>
      </w:r>
      <w:proofErr w:type="spellEnd"/>
      <w:r w:rsidRPr="003D78EE">
        <w:rPr>
          <w:rFonts w:ascii="Arial" w:hAnsi="Arial"/>
          <w:iCs/>
          <w:sz w:val="36"/>
          <w:szCs w:val="36"/>
          <w:lang w:val="ru-RU" w:eastAsia="en-US"/>
        </w:rPr>
        <w:t xml:space="preserve"> с </w:t>
      </w:r>
      <w:r w:rsidR="00165A46">
        <w:rPr>
          <w:rFonts w:ascii="Arial" w:hAnsi="Arial"/>
          <w:iCs/>
          <w:sz w:val="36"/>
          <w:szCs w:val="36"/>
          <w:lang w:val="ru-RU" w:eastAsia="en-US"/>
        </w:rPr>
        <w:t>новыми</w:t>
      </w:r>
      <w:r w:rsidRPr="003D78EE">
        <w:rPr>
          <w:rFonts w:ascii="Arial" w:hAnsi="Arial"/>
          <w:iCs/>
          <w:sz w:val="36"/>
          <w:szCs w:val="36"/>
          <w:lang w:val="ru-RU" w:eastAsia="en-US"/>
        </w:rPr>
        <w:t xml:space="preserve"> возможностями </w:t>
      </w:r>
    </w:p>
    <w:p w14:paraId="1ADF0793" w14:textId="16872309" w:rsidR="002814DB" w:rsidRPr="002814DB" w:rsidRDefault="002814DB" w:rsidP="00FF1FBF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r>
        <w:rPr>
          <w:rFonts w:ascii="Arial" w:hAnsi="Arial"/>
          <w:iCs/>
          <w:lang w:val="ru-RU" w:eastAsia="en-US"/>
        </w:rPr>
        <w:t>Испытательный</w:t>
      </w:r>
      <w:r w:rsidRPr="002814DB">
        <w:rPr>
          <w:rFonts w:ascii="Arial" w:hAnsi="Arial"/>
          <w:iCs/>
          <w:lang w:val="ru-RU" w:eastAsia="en-US"/>
        </w:rPr>
        <w:t xml:space="preserve"> </w:t>
      </w:r>
      <w:r>
        <w:rPr>
          <w:rFonts w:ascii="Arial" w:hAnsi="Arial"/>
          <w:iCs/>
          <w:lang w:val="ru-RU" w:eastAsia="en-US"/>
        </w:rPr>
        <w:t>центр</w:t>
      </w:r>
      <w:r w:rsidR="00E62EC5" w:rsidRPr="002814DB">
        <w:rPr>
          <w:rFonts w:ascii="Arial" w:hAnsi="Arial"/>
          <w:iCs/>
          <w:lang w:val="ru-RU" w:eastAsia="en-US"/>
        </w:rPr>
        <w:t xml:space="preserve"> </w:t>
      </w:r>
      <w:r>
        <w:rPr>
          <w:rFonts w:ascii="Arial" w:hAnsi="Arial"/>
          <w:iCs/>
          <w:lang w:val="de-AT" w:eastAsia="en-US"/>
        </w:rPr>
        <w:t>TIZ</w:t>
      </w:r>
      <w:r w:rsidRPr="002814DB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5112C9">
        <w:rPr>
          <w:rFonts w:ascii="Arial" w:hAnsi="Arial"/>
          <w:iCs/>
          <w:lang w:val="ru-RU" w:eastAsia="en-US"/>
        </w:rPr>
        <w:t xml:space="preserve">– центр технологий и инноваций в </w:t>
      </w:r>
      <w:proofErr w:type="spellStart"/>
      <w:r w:rsidRPr="005112C9">
        <w:rPr>
          <w:rFonts w:ascii="Arial" w:hAnsi="Arial"/>
          <w:iCs/>
          <w:lang w:val="ru-RU" w:eastAsia="en-US"/>
        </w:rPr>
        <w:t>Грискирхене</w:t>
      </w:r>
      <w:proofErr w:type="spellEnd"/>
      <w:r w:rsidRPr="005112C9">
        <w:rPr>
          <w:rFonts w:ascii="Arial" w:hAnsi="Arial"/>
          <w:iCs/>
          <w:lang w:val="ru-RU" w:eastAsia="en-US"/>
        </w:rPr>
        <w:t xml:space="preserve"> (Австрия)</w:t>
      </w:r>
      <w:r w:rsidR="005112C9">
        <w:rPr>
          <w:rFonts w:ascii="Arial" w:hAnsi="Arial"/>
          <w:iCs/>
          <w:lang w:val="ru-RU" w:eastAsia="en-US"/>
        </w:rPr>
        <w:t xml:space="preserve"> был расширен во второй раз. Благодаря большому спросу новый зал центра </w:t>
      </w:r>
      <w:r w:rsidR="005112C9">
        <w:rPr>
          <w:rFonts w:ascii="Arial" w:hAnsi="Arial"/>
          <w:iCs/>
          <w:lang w:val="de-AT" w:eastAsia="en-US"/>
        </w:rPr>
        <w:t>TIZ</w:t>
      </w:r>
      <w:r w:rsidR="005112C9">
        <w:rPr>
          <w:rFonts w:ascii="Arial" w:hAnsi="Arial"/>
          <w:iCs/>
          <w:lang w:val="ru-RU" w:eastAsia="en-US"/>
        </w:rPr>
        <w:t xml:space="preserve"> был введён в эксплуатацию уже в феврале 2023г.</w:t>
      </w:r>
    </w:p>
    <w:p w14:paraId="44EA8C2A" w14:textId="77777777" w:rsidR="00393F92" w:rsidRPr="005112C9" w:rsidRDefault="00393F92" w:rsidP="00FF1FBF">
      <w:pPr>
        <w:spacing w:line="360" w:lineRule="auto"/>
        <w:jc w:val="both"/>
        <w:rPr>
          <w:rFonts w:ascii="Arial" w:hAnsi="Arial"/>
          <w:b/>
          <w:bCs/>
          <w:iCs/>
          <w:lang w:val="ru-RU" w:eastAsia="en-US"/>
        </w:rPr>
      </w:pPr>
    </w:p>
    <w:p w14:paraId="5710DD1E" w14:textId="77777777" w:rsidR="008F3A51" w:rsidRPr="008F3A51" w:rsidRDefault="008F3A51" w:rsidP="001B1EC0">
      <w:pPr>
        <w:spacing w:line="360" w:lineRule="auto"/>
        <w:jc w:val="both"/>
        <w:rPr>
          <w:rFonts w:ascii="Arial" w:hAnsi="Arial"/>
          <w:b/>
          <w:bCs/>
          <w:iCs/>
          <w:lang w:val="ru-RU" w:eastAsia="en-US"/>
        </w:rPr>
      </w:pPr>
      <w:r w:rsidRPr="008F3A51">
        <w:rPr>
          <w:rFonts w:ascii="Arial" w:hAnsi="Arial"/>
          <w:b/>
          <w:bCs/>
          <w:iCs/>
          <w:lang w:val="ru-RU" w:eastAsia="en-US"/>
        </w:rPr>
        <w:t xml:space="preserve">Самые современные технологии тестирования </w:t>
      </w:r>
    </w:p>
    <w:p w14:paraId="0F92606D" w14:textId="1B59975F" w:rsidR="001B1EC0" w:rsidRPr="001B1EC0" w:rsidRDefault="001B1EC0" w:rsidP="001B1EC0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r>
        <w:rPr>
          <w:rFonts w:ascii="Arial" w:hAnsi="Arial"/>
          <w:iCs/>
          <w:lang w:val="ru-RU" w:eastAsia="en-US"/>
        </w:rPr>
        <w:t>Испытательный</w:t>
      </w:r>
      <w:r w:rsidRPr="002814DB">
        <w:rPr>
          <w:rFonts w:ascii="Arial" w:hAnsi="Arial"/>
          <w:iCs/>
          <w:lang w:val="ru-RU" w:eastAsia="en-US"/>
        </w:rPr>
        <w:t xml:space="preserve"> </w:t>
      </w:r>
      <w:r>
        <w:rPr>
          <w:rFonts w:ascii="Arial" w:hAnsi="Arial"/>
          <w:iCs/>
          <w:lang w:val="ru-RU" w:eastAsia="en-US"/>
        </w:rPr>
        <w:t>центр</w:t>
      </w:r>
      <w:r w:rsidRPr="001B1EC0">
        <w:rPr>
          <w:rFonts w:ascii="Arial" w:hAnsi="Arial"/>
          <w:iCs/>
          <w:lang w:val="ru-RU" w:eastAsia="en-US"/>
        </w:rPr>
        <w:t xml:space="preserve"> </w:t>
      </w:r>
      <w:r w:rsidRPr="001B1EC0">
        <w:rPr>
          <w:rFonts w:ascii="Arial" w:hAnsi="Arial"/>
          <w:iCs/>
          <w:lang w:val="de-AT" w:eastAsia="en-US"/>
        </w:rPr>
        <w:t>TIZ</w:t>
      </w:r>
      <w:r w:rsidRPr="001B1EC0">
        <w:rPr>
          <w:rFonts w:ascii="Arial" w:hAnsi="Arial"/>
          <w:iCs/>
          <w:lang w:val="ru-RU" w:eastAsia="en-US"/>
        </w:rPr>
        <w:t xml:space="preserve"> был основан в 2002 году. </w:t>
      </w:r>
      <w:r w:rsidRPr="00B70BDA">
        <w:rPr>
          <w:rFonts w:ascii="Arial" w:hAnsi="Arial"/>
          <w:iCs/>
          <w:lang w:val="ru-RU" w:eastAsia="en-US"/>
        </w:rPr>
        <w:t xml:space="preserve">Акционерами </w:t>
      </w:r>
      <w:r w:rsidRPr="001B1EC0">
        <w:rPr>
          <w:rFonts w:ascii="Arial" w:hAnsi="Arial"/>
          <w:iCs/>
          <w:lang w:val="de-AT" w:eastAsia="en-US"/>
        </w:rPr>
        <w:t>TIZ</w:t>
      </w:r>
      <w:r w:rsidRPr="00B70BDA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1B1EC0">
        <w:rPr>
          <w:rFonts w:ascii="Arial" w:hAnsi="Arial"/>
          <w:iCs/>
          <w:lang w:val="de-AT" w:eastAsia="en-US"/>
        </w:rPr>
        <w:t>Landl</w:t>
      </w:r>
      <w:proofErr w:type="spellEnd"/>
      <w:r w:rsidRPr="00B70BDA">
        <w:rPr>
          <w:rFonts w:ascii="Arial" w:hAnsi="Arial"/>
          <w:iCs/>
          <w:lang w:val="ru-RU" w:eastAsia="en-US"/>
        </w:rPr>
        <w:t xml:space="preserve"> </w:t>
      </w:r>
      <w:r w:rsidRPr="001B1EC0">
        <w:rPr>
          <w:rFonts w:ascii="Arial" w:hAnsi="Arial"/>
          <w:iCs/>
          <w:lang w:val="de-AT" w:eastAsia="en-US"/>
        </w:rPr>
        <w:t>Grieskirchen</w:t>
      </w:r>
      <w:r w:rsidRPr="00B70BDA">
        <w:rPr>
          <w:rFonts w:ascii="Arial" w:hAnsi="Arial"/>
          <w:iCs/>
          <w:lang w:val="ru-RU" w:eastAsia="en-US"/>
        </w:rPr>
        <w:t xml:space="preserve"> </w:t>
      </w:r>
      <w:r w:rsidRPr="001B1EC0">
        <w:rPr>
          <w:rFonts w:ascii="Arial" w:hAnsi="Arial"/>
          <w:iCs/>
          <w:lang w:val="de-AT" w:eastAsia="en-US"/>
        </w:rPr>
        <w:t>GmbH</w:t>
      </w:r>
      <w:r w:rsidRPr="00B70BDA">
        <w:rPr>
          <w:rFonts w:ascii="Arial" w:hAnsi="Arial"/>
          <w:iCs/>
          <w:lang w:val="ru-RU" w:eastAsia="en-US"/>
        </w:rPr>
        <w:t xml:space="preserve"> являются муниципалитет города </w:t>
      </w:r>
      <w:proofErr w:type="spellStart"/>
      <w:r w:rsidRPr="00B70BDA">
        <w:rPr>
          <w:rFonts w:ascii="Arial" w:hAnsi="Arial"/>
          <w:iCs/>
          <w:lang w:val="ru-RU" w:eastAsia="en-US"/>
        </w:rPr>
        <w:t>Грискирхен</w:t>
      </w:r>
      <w:proofErr w:type="spellEnd"/>
      <w:r w:rsidRPr="00B70BDA">
        <w:rPr>
          <w:rFonts w:ascii="Arial" w:hAnsi="Arial"/>
          <w:iCs/>
          <w:lang w:val="ru-RU" w:eastAsia="en-US"/>
        </w:rPr>
        <w:t>, Санкт-</w:t>
      </w:r>
      <w:proofErr w:type="spellStart"/>
      <w:r w:rsidRPr="00B70BDA">
        <w:rPr>
          <w:rFonts w:ascii="Arial" w:hAnsi="Arial"/>
          <w:iCs/>
          <w:lang w:val="ru-RU" w:eastAsia="en-US"/>
        </w:rPr>
        <w:t>Георген</w:t>
      </w:r>
      <w:proofErr w:type="spellEnd"/>
      <w:r w:rsidRPr="00B70BDA">
        <w:rPr>
          <w:rFonts w:ascii="Arial" w:hAnsi="Arial"/>
          <w:iCs/>
          <w:lang w:val="ru-RU" w:eastAsia="en-US"/>
        </w:rPr>
        <w:t xml:space="preserve">, </w:t>
      </w:r>
      <w:proofErr w:type="spellStart"/>
      <w:r w:rsidRPr="00B70BDA">
        <w:rPr>
          <w:rFonts w:ascii="Arial" w:hAnsi="Arial"/>
          <w:iCs/>
          <w:lang w:val="ru-RU" w:eastAsia="en-US"/>
        </w:rPr>
        <w:t>Толле</w:t>
      </w:r>
      <w:r w:rsidR="00B70BDA">
        <w:rPr>
          <w:rFonts w:ascii="Arial" w:hAnsi="Arial"/>
          <w:iCs/>
          <w:lang w:val="ru-RU" w:eastAsia="en-US"/>
        </w:rPr>
        <w:t>та</w:t>
      </w:r>
      <w:proofErr w:type="spellEnd"/>
      <w:r w:rsidRPr="00B70BDA">
        <w:rPr>
          <w:rFonts w:ascii="Arial" w:hAnsi="Arial"/>
          <w:iCs/>
          <w:lang w:val="ru-RU" w:eastAsia="en-US"/>
        </w:rPr>
        <w:t xml:space="preserve">, компания </w:t>
      </w:r>
      <w:r w:rsidRPr="001B1EC0">
        <w:rPr>
          <w:rFonts w:ascii="Arial" w:hAnsi="Arial"/>
          <w:iCs/>
          <w:lang w:val="de-AT" w:eastAsia="en-US"/>
        </w:rPr>
        <w:t>P</w:t>
      </w:r>
      <w:r w:rsidRPr="00B70BDA">
        <w:rPr>
          <w:rFonts w:ascii="Arial" w:hAnsi="Arial"/>
          <w:iCs/>
          <w:lang w:val="ru-RU" w:eastAsia="en-US"/>
        </w:rPr>
        <w:t>ö</w:t>
      </w:r>
      <w:proofErr w:type="spellStart"/>
      <w:r w:rsidRPr="001B1EC0">
        <w:rPr>
          <w:rFonts w:ascii="Arial" w:hAnsi="Arial"/>
          <w:iCs/>
          <w:lang w:val="de-AT" w:eastAsia="en-US"/>
        </w:rPr>
        <w:t>ttinger</w:t>
      </w:r>
      <w:proofErr w:type="spellEnd"/>
      <w:r w:rsidRPr="00B70BDA">
        <w:rPr>
          <w:rFonts w:ascii="Arial" w:hAnsi="Arial"/>
          <w:iCs/>
          <w:lang w:val="ru-RU" w:eastAsia="en-US"/>
        </w:rPr>
        <w:t xml:space="preserve"> </w:t>
      </w:r>
      <w:r w:rsidRPr="001B1EC0">
        <w:rPr>
          <w:rFonts w:ascii="Arial" w:hAnsi="Arial"/>
          <w:iCs/>
          <w:lang w:val="de-AT" w:eastAsia="en-US"/>
        </w:rPr>
        <w:t>Landtechnik</w:t>
      </w:r>
      <w:r w:rsidRPr="00B70BDA">
        <w:rPr>
          <w:rFonts w:ascii="Arial" w:hAnsi="Arial"/>
          <w:iCs/>
          <w:lang w:val="ru-RU" w:eastAsia="en-US"/>
        </w:rPr>
        <w:t xml:space="preserve"> </w:t>
      </w:r>
      <w:r w:rsidRPr="001B1EC0">
        <w:rPr>
          <w:rFonts w:ascii="Arial" w:hAnsi="Arial"/>
          <w:iCs/>
          <w:lang w:val="de-AT" w:eastAsia="en-US"/>
        </w:rPr>
        <w:t>GmbH</w:t>
      </w:r>
      <w:r w:rsidRPr="00B70BDA">
        <w:rPr>
          <w:rFonts w:ascii="Arial" w:hAnsi="Arial"/>
          <w:iCs/>
          <w:lang w:val="ru-RU" w:eastAsia="en-US"/>
        </w:rPr>
        <w:t xml:space="preserve"> и местное агентство </w:t>
      </w:r>
      <w:r w:rsidRPr="001B1EC0">
        <w:rPr>
          <w:rFonts w:ascii="Arial" w:hAnsi="Arial"/>
          <w:iCs/>
          <w:lang w:val="de-AT" w:eastAsia="en-US"/>
        </w:rPr>
        <w:t>Business</w:t>
      </w:r>
      <w:r w:rsidRPr="00B70BDA">
        <w:rPr>
          <w:rFonts w:ascii="Arial" w:hAnsi="Arial"/>
          <w:iCs/>
          <w:lang w:val="ru-RU" w:eastAsia="en-US"/>
        </w:rPr>
        <w:t xml:space="preserve"> </w:t>
      </w:r>
      <w:r w:rsidRPr="001B1EC0">
        <w:rPr>
          <w:rFonts w:ascii="Arial" w:hAnsi="Arial"/>
          <w:iCs/>
          <w:lang w:val="de-AT" w:eastAsia="en-US"/>
        </w:rPr>
        <w:t>Upper</w:t>
      </w:r>
      <w:r w:rsidRPr="00B70BDA">
        <w:rPr>
          <w:rFonts w:ascii="Arial" w:hAnsi="Arial"/>
          <w:iCs/>
          <w:lang w:val="ru-RU" w:eastAsia="en-US"/>
        </w:rPr>
        <w:t xml:space="preserve"> </w:t>
      </w:r>
      <w:r w:rsidRPr="001B1EC0">
        <w:rPr>
          <w:rFonts w:ascii="Arial" w:hAnsi="Arial"/>
          <w:iCs/>
          <w:lang w:val="de-AT" w:eastAsia="en-US"/>
        </w:rPr>
        <w:t>Austria</w:t>
      </w:r>
      <w:r w:rsidRPr="00B70BDA">
        <w:rPr>
          <w:rFonts w:ascii="Arial" w:hAnsi="Arial"/>
          <w:iCs/>
          <w:lang w:val="ru-RU" w:eastAsia="en-US"/>
        </w:rPr>
        <w:t xml:space="preserve">, каждая из которых имеет по одной трети акций. </w:t>
      </w:r>
      <w:r w:rsidRPr="001B1EC0">
        <w:rPr>
          <w:rFonts w:ascii="Arial" w:hAnsi="Arial"/>
          <w:iCs/>
          <w:lang w:val="de-AT" w:eastAsia="en-US"/>
        </w:rPr>
        <w:t>TIZ</w:t>
      </w:r>
      <w:r w:rsidRPr="001B1EC0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1B1EC0">
        <w:rPr>
          <w:rFonts w:ascii="Arial" w:hAnsi="Arial"/>
          <w:iCs/>
          <w:lang w:val="de-AT" w:eastAsia="en-US"/>
        </w:rPr>
        <w:t>Landl</w:t>
      </w:r>
      <w:proofErr w:type="spellEnd"/>
      <w:r w:rsidRPr="001B1EC0">
        <w:rPr>
          <w:rFonts w:ascii="Arial" w:hAnsi="Arial"/>
          <w:iCs/>
          <w:lang w:val="ru-RU" w:eastAsia="en-US"/>
        </w:rPr>
        <w:t xml:space="preserve"> и </w:t>
      </w:r>
      <w:r w:rsidRPr="001B1EC0">
        <w:rPr>
          <w:rFonts w:ascii="Arial" w:hAnsi="Arial"/>
          <w:iCs/>
          <w:lang w:val="de-AT" w:eastAsia="en-US"/>
        </w:rPr>
        <w:t>P</w:t>
      </w:r>
      <w:r w:rsidRPr="001B1EC0">
        <w:rPr>
          <w:rFonts w:ascii="Arial" w:hAnsi="Arial"/>
          <w:iCs/>
          <w:lang w:val="ru-RU" w:eastAsia="en-US"/>
        </w:rPr>
        <w:t>ö</w:t>
      </w:r>
      <w:proofErr w:type="spellStart"/>
      <w:r w:rsidRPr="001B1EC0">
        <w:rPr>
          <w:rFonts w:ascii="Arial" w:hAnsi="Arial"/>
          <w:iCs/>
          <w:lang w:val="de-AT" w:eastAsia="en-US"/>
        </w:rPr>
        <w:t>ttinger</w:t>
      </w:r>
      <w:proofErr w:type="spellEnd"/>
      <w:r w:rsidR="00B70BDA">
        <w:rPr>
          <w:rFonts w:ascii="Arial" w:hAnsi="Arial"/>
          <w:iCs/>
          <w:lang w:val="ru-RU" w:eastAsia="en-US"/>
        </w:rPr>
        <w:t>,</w:t>
      </w:r>
      <w:r w:rsidRPr="001B1EC0">
        <w:rPr>
          <w:rFonts w:ascii="Arial" w:hAnsi="Arial"/>
          <w:iCs/>
          <w:lang w:val="ru-RU" w:eastAsia="en-US"/>
        </w:rPr>
        <w:t xml:space="preserve"> в качестве ведущей компании</w:t>
      </w:r>
      <w:r w:rsidR="00B70BDA">
        <w:rPr>
          <w:rFonts w:ascii="Arial" w:hAnsi="Arial"/>
          <w:iCs/>
          <w:lang w:val="ru-RU" w:eastAsia="en-US"/>
        </w:rPr>
        <w:t>,</w:t>
      </w:r>
      <w:r w:rsidRPr="001B1EC0">
        <w:rPr>
          <w:rFonts w:ascii="Arial" w:hAnsi="Arial"/>
          <w:iCs/>
          <w:lang w:val="ru-RU" w:eastAsia="en-US"/>
        </w:rPr>
        <w:t xml:space="preserve"> управляют современным исследовательским и испытательным центром в тесном сотрудничестве. На протяжении многих лет центр пользуется отличной международной репутацией.</w:t>
      </w:r>
    </w:p>
    <w:p w14:paraId="26BC0C7A" w14:textId="2A034FDE" w:rsidR="00736230" w:rsidRPr="00736230" w:rsidRDefault="00736230" w:rsidP="00736230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736230">
        <w:rPr>
          <w:rFonts w:ascii="Arial" w:hAnsi="Arial"/>
          <w:iCs/>
          <w:lang w:val="ru-RU" w:eastAsia="en-US"/>
        </w:rPr>
        <w:t xml:space="preserve">Испытательный центр компании </w:t>
      </w:r>
      <w:proofErr w:type="spellStart"/>
      <w:r w:rsidRPr="00736230">
        <w:rPr>
          <w:rFonts w:ascii="Arial" w:hAnsi="Arial"/>
          <w:iCs/>
          <w:lang w:val="ru-RU" w:eastAsia="en-US"/>
        </w:rPr>
        <w:t>Pöttinger</w:t>
      </w:r>
      <w:proofErr w:type="spellEnd"/>
      <w:r w:rsidRPr="00736230">
        <w:rPr>
          <w:rFonts w:ascii="Arial" w:hAnsi="Arial"/>
          <w:iCs/>
          <w:lang w:val="ru-RU" w:eastAsia="en-US"/>
        </w:rPr>
        <w:t xml:space="preserve"> специализируется на создании прототипов, практических полевых испытаниях и технологии измерений и испытаний. Помимо сельскохозяйственной техники </w:t>
      </w:r>
      <w:proofErr w:type="spellStart"/>
      <w:r w:rsidRPr="00736230">
        <w:rPr>
          <w:rFonts w:ascii="Arial" w:hAnsi="Arial"/>
          <w:iCs/>
          <w:lang w:val="ru-RU" w:eastAsia="en-US"/>
        </w:rPr>
        <w:t>Pöttinger</w:t>
      </w:r>
      <w:proofErr w:type="spellEnd"/>
      <w:r w:rsidRPr="00736230">
        <w:rPr>
          <w:rFonts w:ascii="Arial" w:hAnsi="Arial"/>
          <w:iCs/>
          <w:lang w:val="ru-RU" w:eastAsia="en-US"/>
        </w:rPr>
        <w:t xml:space="preserve">, испытательный центр также осуществляет проекты по испытаниям для внешних заказчиков в сотрудничестве с TIZ </w:t>
      </w:r>
      <w:proofErr w:type="spellStart"/>
      <w:r w:rsidRPr="00736230">
        <w:rPr>
          <w:rFonts w:ascii="Arial" w:hAnsi="Arial"/>
          <w:iCs/>
          <w:lang w:val="ru-RU" w:eastAsia="en-US"/>
        </w:rPr>
        <w:t>Landl</w:t>
      </w:r>
      <w:proofErr w:type="spellEnd"/>
      <w:r w:rsidRPr="00736230">
        <w:rPr>
          <w:rFonts w:ascii="Arial" w:hAnsi="Arial"/>
          <w:iCs/>
          <w:lang w:val="ru-RU" w:eastAsia="en-US"/>
        </w:rPr>
        <w:t xml:space="preserve"> GmbH. Задачей испытательного центра является - в ходе разработки сельскохозяйственной техники - создать технологии для перехода к серийному производству и сотрудничать с испытательными компаниями для обеспечения наилучших результатов. Кроме того, испытания на прочность проводятся в течение всего срока службы в таких условиях эксплуатации, как полевые испытания на испытательных стендах.</w:t>
      </w:r>
    </w:p>
    <w:p w14:paraId="49AE1DD1" w14:textId="50E1698B" w:rsidR="00736230" w:rsidRPr="00736230" w:rsidRDefault="00736230" w:rsidP="00736230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736230">
        <w:rPr>
          <w:rFonts w:ascii="Arial" w:hAnsi="Arial"/>
          <w:iCs/>
          <w:lang w:val="ru-RU" w:eastAsia="en-US"/>
        </w:rPr>
        <w:t xml:space="preserve">Новая часть здания (TIZ 3) предоставляет дополнительные мощности и занимает площадь 1 800 м2. Из них 1 300 м2 отведено только под испытательное оборудование, а остальная площадь необходима для создания прототипов. Оборудование включает в себя зону для испытания оборудования размером 30 x 12 м, где можно установить испытательные </w:t>
      </w:r>
      <w:r w:rsidRPr="00736230">
        <w:rPr>
          <w:rFonts w:ascii="Arial" w:hAnsi="Arial"/>
          <w:iCs/>
          <w:lang w:val="ru-RU" w:eastAsia="en-US"/>
        </w:rPr>
        <w:lastRenderedPageBreak/>
        <w:t xml:space="preserve">модели по индивидуальному заказу как для клиентов TIZ </w:t>
      </w:r>
      <w:proofErr w:type="spellStart"/>
      <w:r w:rsidRPr="00736230">
        <w:rPr>
          <w:rFonts w:ascii="Arial" w:hAnsi="Arial"/>
          <w:iCs/>
          <w:lang w:val="ru-RU" w:eastAsia="en-US"/>
        </w:rPr>
        <w:t>Landl</w:t>
      </w:r>
      <w:proofErr w:type="spellEnd"/>
      <w:r w:rsidRPr="00736230">
        <w:rPr>
          <w:rFonts w:ascii="Arial" w:hAnsi="Arial"/>
          <w:iCs/>
          <w:lang w:val="ru-RU" w:eastAsia="en-US"/>
        </w:rPr>
        <w:t xml:space="preserve"> GmbH, так и для сельскохозяйственной техники </w:t>
      </w:r>
      <w:proofErr w:type="spellStart"/>
      <w:r w:rsidRPr="00736230">
        <w:rPr>
          <w:rFonts w:ascii="Arial" w:hAnsi="Arial"/>
          <w:iCs/>
          <w:lang w:val="ru-RU" w:eastAsia="en-US"/>
        </w:rPr>
        <w:t>Pöttinger</w:t>
      </w:r>
      <w:proofErr w:type="spellEnd"/>
      <w:r w:rsidRPr="00736230">
        <w:rPr>
          <w:rFonts w:ascii="Arial" w:hAnsi="Arial"/>
          <w:iCs/>
          <w:lang w:val="ru-RU" w:eastAsia="en-US"/>
        </w:rPr>
        <w:t xml:space="preserve">. Тестовые цилиндры приводятся в действие гидравлическим агрегатом с электрической мощностью 400 кВт. Два 10-тонных крана могут использоваться для </w:t>
      </w:r>
      <w:proofErr w:type="spellStart"/>
      <w:r w:rsidRPr="00736230">
        <w:rPr>
          <w:rFonts w:ascii="Arial" w:hAnsi="Arial"/>
          <w:iCs/>
          <w:lang w:val="ru-RU" w:eastAsia="en-US"/>
        </w:rPr>
        <w:t>подъема</w:t>
      </w:r>
      <w:proofErr w:type="spellEnd"/>
      <w:r w:rsidRPr="00736230">
        <w:rPr>
          <w:rFonts w:ascii="Arial" w:hAnsi="Arial"/>
          <w:iCs/>
          <w:lang w:val="ru-RU" w:eastAsia="en-US"/>
        </w:rPr>
        <w:t xml:space="preserve"> полностью собранных машин на стенд. На втором этаже, площадью 500 м2, расположены современные офисы и переговорные комнаты, где инженеры-испытатели из </w:t>
      </w:r>
      <w:proofErr w:type="spellStart"/>
      <w:r w:rsidRPr="00736230">
        <w:rPr>
          <w:rFonts w:ascii="Arial" w:hAnsi="Arial"/>
          <w:iCs/>
          <w:lang w:val="ru-RU" w:eastAsia="en-US"/>
        </w:rPr>
        <w:t>Pöttinger</w:t>
      </w:r>
      <w:proofErr w:type="spellEnd"/>
      <w:r w:rsidRPr="00736230">
        <w:rPr>
          <w:rFonts w:ascii="Arial" w:hAnsi="Arial"/>
          <w:iCs/>
          <w:lang w:val="ru-RU" w:eastAsia="en-US"/>
        </w:rPr>
        <w:t xml:space="preserve"> и TIZ </w:t>
      </w:r>
      <w:proofErr w:type="spellStart"/>
      <w:r w:rsidRPr="00736230">
        <w:rPr>
          <w:rFonts w:ascii="Arial" w:hAnsi="Arial"/>
          <w:iCs/>
          <w:lang w:val="ru-RU" w:eastAsia="en-US"/>
        </w:rPr>
        <w:t>Landl</w:t>
      </w:r>
      <w:proofErr w:type="spellEnd"/>
      <w:r w:rsidRPr="00736230">
        <w:rPr>
          <w:rFonts w:ascii="Arial" w:hAnsi="Arial"/>
          <w:iCs/>
          <w:lang w:val="ru-RU" w:eastAsia="en-US"/>
        </w:rPr>
        <w:t xml:space="preserve"> GmbH работают в тесном сотрудничестве, управляя и планируя проект</w:t>
      </w:r>
      <w:r w:rsidR="008F3A51">
        <w:rPr>
          <w:rFonts w:ascii="Arial" w:hAnsi="Arial"/>
          <w:iCs/>
          <w:lang w:val="ru-RU" w:eastAsia="en-US"/>
        </w:rPr>
        <w:t>ами</w:t>
      </w:r>
      <w:r w:rsidRPr="00736230">
        <w:rPr>
          <w:rFonts w:ascii="Arial" w:hAnsi="Arial"/>
          <w:iCs/>
          <w:lang w:val="ru-RU" w:eastAsia="en-US"/>
        </w:rPr>
        <w:t xml:space="preserve"> испытаний.</w:t>
      </w:r>
    </w:p>
    <w:p w14:paraId="3CF55003" w14:textId="3C75F034" w:rsidR="001B1EC0" w:rsidRPr="00736230" w:rsidRDefault="003709AF" w:rsidP="00FF1FBF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3709AF">
        <w:rPr>
          <w:rFonts w:ascii="Arial" w:hAnsi="Arial"/>
          <w:iCs/>
          <w:lang w:val="ru-RU" w:eastAsia="en-US"/>
        </w:rPr>
        <w:t xml:space="preserve">В </w:t>
      </w:r>
      <w:r>
        <w:rPr>
          <w:rFonts w:ascii="Arial" w:hAnsi="Arial"/>
          <w:iCs/>
          <w:lang w:val="ru-RU" w:eastAsia="en-US"/>
        </w:rPr>
        <w:t xml:space="preserve">центре испытаний </w:t>
      </w:r>
      <w:r w:rsidRPr="003709AF">
        <w:rPr>
          <w:rFonts w:ascii="Arial" w:hAnsi="Arial"/>
          <w:iCs/>
          <w:lang w:val="ru-RU" w:eastAsia="en-US"/>
        </w:rPr>
        <w:t xml:space="preserve">TIZ </w:t>
      </w:r>
      <w:proofErr w:type="spellStart"/>
      <w:r>
        <w:rPr>
          <w:rFonts w:ascii="Arial" w:hAnsi="Arial"/>
          <w:iCs/>
          <w:lang w:val="ru-RU" w:eastAsia="en-US"/>
        </w:rPr>
        <w:t>Грискирхен</w:t>
      </w:r>
      <w:proofErr w:type="spellEnd"/>
      <w:r>
        <w:rPr>
          <w:rFonts w:ascii="Arial" w:hAnsi="Arial"/>
          <w:iCs/>
          <w:lang w:val="ru-RU" w:eastAsia="en-US"/>
        </w:rPr>
        <w:t xml:space="preserve"> (Австрия)</w:t>
      </w:r>
      <w:r w:rsidRPr="003709AF">
        <w:rPr>
          <w:rFonts w:ascii="Arial" w:hAnsi="Arial"/>
          <w:iCs/>
          <w:lang w:val="ru-RU" w:eastAsia="en-US"/>
        </w:rPr>
        <w:t xml:space="preserve"> находится самое современное в Европе оборудование для испытания различных компонентов, на котором компания </w:t>
      </w:r>
      <w:proofErr w:type="spellStart"/>
      <w:r w:rsidRPr="003709AF">
        <w:rPr>
          <w:rFonts w:ascii="Arial" w:hAnsi="Arial"/>
          <w:iCs/>
          <w:lang w:val="ru-RU" w:eastAsia="en-US"/>
        </w:rPr>
        <w:t>Pöttinger</w:t>
      </w:r>
      <w:proofErr w:type="spellEnd"/>
      <w:r w:rsidRPr="003709AF">
        <w:rPr>
          <w:rFonts w:ascii="Arial" w:hAnsi="Arial"/>
          <w:iCs/>
          <w:lang w:val="ru-RU" w:eastAsia="en-US"/>
        </w:rPr>
        <w:t xml:space="preserve"> проводит интенсивные испытания сельскохозяйственной техники. </w:t>
      </w:r>
      <w:r>
        <w:rPr>
          <w:rFonts w:ascii="Arial" w:hAnsi="Arial"/>
          <w:iCs/>
          <w:lang w:val="ru-RU" w:eastAsia="en-US"/>
        </w:rPr>
        <w:t xml:space="preserve">Центр </w:t>
      </w:r>
      <w:r w:rsidRPr="003709AF">
        <w:rPr>
          <w:rFonts w:ascii="Arial" w:hAnsi="Arial"/>
          <w:iCs/>
          <w:lang w:val="ru-RU" w:eastAsia="en-US"/>
        </w:rPr>
        <w:t xml:space="preserve">TIZ </w:t>
      </w:r>
      <w:proofErr w:type="spellStart"/>
      <w:r w:rsidRPr="003709AF">
        <w:rPr>
          <w:rFonts w:ascii="Arial" w:hAnsi="Arial"/>
          <w:iCs/>
          <w:lang w:val="ru-RU" w:eastAsia="en-US"/>
        </w:rPr>
        <w:t>Landl</w:t>
      </w:r>
      <w:proofErr w:type="spellEnd"/>
      <w:r w:rsidRPr="003709AF">
        <w:rPr>
          <w:rFonts w:ascii="Arial" w:hAnsi="Arial"/>
          <w:iCs/>
          <w:lang w:val="ru-RU" w:eastAsia="en-US"/>
        </w:rPr>
        <w:t xml:space="preserve"> GmbH также обрабатывает заказы на проведение испытаний от сторонних компаний из многих стран. Расширение производства позволит расширить сферу испытаний, в частности, для интенсивных испытаний целых машин. Оно также позволит выйти на испытательные возможности для электромобилей, включая испытания высоковольтных компонентов. Маркус </w:t>
      </w:r>
      <w:proofErr w:type="spellStart"/>
      <w:r w:rsidRPr="003709AF">
        <w:rPr>
          <w:rFonts w:ascii="Arial" w:hAnsi="Arial"/>
          <w:iCs/>
          <w:lang w:val="ru-RU" w:eastAsia="en-US"/>
        </w:rPr>
        <w:t>Бальдингер</w:t>
      </w:r>
      <w:proofErr w:type="spellEnd"/>
      <w:r w:rsidRPr="003709AF">
        <w:rPr>
          <w:rFonts w:ascii="Arial" w:hAnsi="Arial"/>
          <w:iCs/>
          <w:lang w:val="ru-RU" w:eastAsia="en-US"/>
        </w:rPr>
        <w:t xml:space="preserve">, управляющий директор компании </w:t>
      </w:r>
      <w:proofErr w:type="spellStart"/>
      <w:r w:rsidRPr="003709AF">
        <w:rPr>
          <w:rFonts w:ascii="Arial" w:hAnsi="Arial"/>
          <w:iCs/>
          <w:lang w:val="ru-RU" w:eastAsia="en-US"/>
        </w:rPr>
        <w:t>Pöttinger</w:t>
      </w:r>
      <w:proofErr w:type="spellEnd"/>
      <w:r w:rsidRPr="003709AF">
        <w:rPr>
          <w:rFonts w:ascii="Arial" w:hAnsi="Arial"/>
          <w:iCs/>
          <w:lang w:val="ru-RU" w:eastAsia="en-US"/>
        </w:rPr>
        <w:t xml:space="preserve">, объясняет причины: "Помимо инвестиций в наши современные производственные предприятия, мы уделяем большое внимание возможностям тестирования и проверки нашей сельскохозяйственной техники. Дополнительными инвестициями в TIZ 3 мы оправдываем обещания о высоком качестве, стабильности, эксплуатационной </w:t>
      </w:r>
      <w:proofErr w:type="spellStart"/>
      <w:r w:rsidRPr="003709AF">
        <w:rPr>
          <w:rFonts w:ascii="Arial" w:hAnsi="Arial"/>
          <w:iCs/>
          <w:lang w:val="ru-RU" w:eastAsia="en-US"/>
        </w:rPr>
        <w:t>надежности</w:t>
      </w:r>
      <w:proofErr w:type="spellEnd"/>
      <w:r w:rsidRPr="003709AF">
        <w:rPr>
          <w:rFonts w:ascii="Arial" w:hAnsi="Arial"/>
          <w:iCs/>
          <w:lang w:val="ru-RU" w:eastAsia="en-US"/>
        </w:rPr>
        <w:t xml:space="preserve"> и долговечности". Испытания в реальных условиях эксплуатации позволяют сэкономить до 75 </w:t>
      </w:r>
      <w:r>
        <w:rPr>
          <w:rFonts w:ascii="Arial" w:hAnsi="Arial"/>
          <w:iCs/>
          <w:lang w:val="ru-RU" w:eastAsia="en-US"/>
        </w:rPr>
        <w:t>%</w:t>
      </w:r>
      <w:r w:rsidRPr="003709AF">
        <w:rPr>
          <w:rFonts w:ascii="Arial" w:hAnsi="Arial"/>
          <w:iCs/>
          <w:lang w:val="ru-RU" w:eastAsia="en-US"/>
        </w:rPr>
        <w:t xml:space="preserve"> времени и средств по сравнению с практическими полевыми испытаниями. В результате в одном из самых современных испытательных центров для компонентов в Европе было создано новое пространство, чтобы п</w:t>
      </w:r>
      <w:r>
        <w:rPr>
          <w:rFonts w:ascii="Arial" w:hAnsi="Arial"/>
          <w:iCs/>
          <w:lang w:val="ru-RU" w:eastAsia="en-US"/>
        </w:rPr>
        <w:t>редоставить</w:t>
      </w:r>
      <w:r w:rsidRPr="003709AF">
        <w:rPr>
          <w:rFonts w:ascii="Arial" w:hAnsi="Arial"/>
          <w:iCs/>
          <w:lang w:val="ru-RU" w:eastAsia="en-US"/>
        </w:rPr>
        <w:t xml:space="preserve"> ещ</w:t>
      </w:r>
      <w:r>
        <w:rPr>
          <w:rFonts w:ascii="Arial" w:hAnsi="Arial"/>
          <w:iCs/>
          <w:lang w:val="ru-RU" w:eastAsia="en-US"/>
        </w:rPr>
        <w:t>ё</w:t>
      </w:r>
      <w:r w:rsidRPr="003709AF">
        <w:rPr>
          <w:rFonts w:ascii="Arial" w:hAnsi="Arial"/>
          <w:iCs/>
          <w:lang w:val="ru-RU" w:eastAsia="en-US"/>
        </w:rPr>
        <w:t xml:space="preserve"> больше возможностей</w:t>
      </w:r>
      <w:r>
        <w:rPr>
          <w:rFonts w:ascii="Arial" w:hAnsi="Arial"/>
          <w:iCs/>
          <w:lang w:val="ru-RU" w:eastAsia="en-US"/>
        </w:rPr>
        <w:t>.</w:t>
      </w:r>
    </w:p>
    <w:p w14:paraId="4CA24DC2" w14:textId="23692A8D" w:rsidR="00736230" w:rsidRPr="00736230" w:rsidRDefault="003709AF" w:rsidP="00FF1FBF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3709AF">
        <w:rPr>
          <w:rFonts w:ascii="Arial" w:hAnsi="Arial"/>
          <w:iCs/>
          <w:lang w:val="ru-RU" w:eastAsia="en-US"/>
        </w:rPr>
        <w:t xml:space="preserve">"Наша техника - это лучшие показатели работы. Мы требовательны к высочайшему качеству, эксплуатационной </w:t>
      </w:r>
      <w:proofErr w:type="spellStart"/>
      <w:r w:rsidRPr="003709AF">
        <w:rPr>
          <w:rFonts w:ascii="Arial" w:hAnsi="Arial"/>
          <w:iCs/>
          <w:lang w:val="ru-RU" w:eastAsia="en-US"/>
        </w:rPr>
        <w:t>надежности</w:t>
      </w:r>
      <w:proofErr w:type="spellEnd"/>
      <w:r w:rsidRPr="003709AF">
        <w:rPr>
          <w:rFonts w:ascii="Arial" w:hAnsi="Arial"/>
          <w:iCs/>
          <w:lang w:val="ru-RU" w:eastAsia="en-US"/>
        </w:rPr>
        <w:t xml:space="preserve"> и долговечности. Благодаря дополнительному залу и новым техническим возможностям мы можем предложить нашим клиентам </w:t>
      </w:r>
      <w:r w:rsidR="008F3A51" w:rsidRPr="003709AF">
        <w:rPr>
          <w:rFonts w:ascii="Arial" w:hAnsi="Arial"/>
          <w:iCs/>
          <w:lang w:val="ru-RU" w:eastAsia="en-US"/>
        </w:rPr>
        <w:t>ещё</w:t>
      </w:r>
      <w:r w:rsidRPr="003709AF">
        <w:rPr>
          <w:rFonts w:ascii="Arial" w:hAnsi="Arial"/>
          <w:iCs/>
          <w:lang w:val="ru-RU" w:eastAsia="en-US"/>
        </w:rPr>
        <w:t xml:space="preserve"> больше. </w:t>
      </w:r>
      <w:r w:rsidR="008F3A51">
        <w:rPr>
          <w:rFonts w:ascii="Arial" w:hAnsi="Arial"/>
          <w:iCs/>
          <w:lang w:val="ru-RU" w:eastAsia="en-US"/>
        </w:rPr>
        <w:t xml:space="preserve">Благодаря </w:t>
      </w:r>
      <w:r w:rsidRPr="003709AF">
        <w:rPr>
          <w:rFonts w:ascii="Arial" w:hAnsi="Arial"/>
          <w:iCs/>
          <w:lang w:val="ru-RU" w:eastAsia="en-US"/>
        </w:rPr>
        <w:t>тестиров</w:t>
      </w:r>
      <w:r w:rsidR="008F3A51">
        <w:rPr>
          <w:rFonts w:ascii="Arial" w:hAnsi="Arial"/>
          <w:iCs/>
          <w:lang w:val="ru-RU" w:eastAsia="en-US"/>
        </w:rPr>
        <w:t>анию</w:t>
      </w:r>
      <w:r w:rsidRPr="003709AF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3709AF">
        <w:rPr>
          <w:rFonts w:ascii="Arial" w:hAnsi="Arial"/>
          <w:iCs/>
          <w:lang w:val="ru-RU" w:eastAsia="en-US"/>
        </w:rPr>
        <w:lastRenderedPageBreak/>
        <w:t>электромобильности</w:t>
      </w:r>
      <w:proofErr w:type="spellEnd"/>
      <w:r w:rsidRPr="003709AF">
        <w:rPr>
          <w:rFonts w:ascii="Arial" w:hAnsi="Arial"/>
          <w:iCs/>
          <w:lang w:val="ru-RU" w:eastAsia="en-US"/>
        </w:rPr>
        <w:t xml:space="preserve"> мы держим руку на пульсе времени и можем обслуживать другие компании через TIZ </w:t>
      </w:r>
      <w:proofErr w:type="spellStart"/>
      <w:r w:rsidRPr="003709AF">
        <w:rPr>
          <w:rFonts w:ascii="Arial" w:hAnsi="Arial"/>
          <w:iCs/>
          <w:lang w:val="ru-RU" w:eastAsia="en-US"/>
        </w:rPr>
        <w:t>Landl</w:t>
      </w:r>
      <w:proofErr w:type="spellEnd"/>
      <w:r w:rsidRPr="003709AF">
        <w:rPr>
          <w:rFonts w:ascii="Arial" w:hAnsi="Arial"/>
          <w:iCs/>
          <w:lang w:val="ru-RU" w:eastAsia="en-US"/>
        </w:rPr>
        <w:t xml:space="preserve"> GmbH", - говорит Маркус </w:t>
      </w:r>
      <w:proofErr w:type="spellStart"/>
      <w:r w:rsidRPr="003709AF">
        <w:rPr>
          <w:rFonts w:ascii="Arial" w:hAnsi="Arial"/>
          <w:iCs/>
          <w:lang w:val="ru-RU" w:eastAsia="en-US"/>
        </w:rPr>
        <w:t>Бальдингер</w:t>
      </w:r>
      <w:proofErr w:type="spellEnd"/>
      <w:r w:rsidRPr="003709AF">
        <w:rPr>
          <w:rFonts w:ascii="Arial" w:hAnsi="Arial"/>
          <w:iCs/>
          <w:lang w:val="ru-RU" w:eastAsia="en-US"/>
        </w:rPr>
        <w:t>, который уверен в успешном расширении. Новые офисы предлагают привлекательные рабочие места в высокотехнологичной среде.</w:t>
      </w:r>
    </w:p>
    <w:p w14:paraId="2E488CA9" w14:textId="3C8B7207" w:rsidR="000205FC" w:rsidRPr="00736230" w:rsidRDefault="001606FB" w:rsidP="00FF1FBF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736230">
        <w:rPr>
          <w:rFonts w:ascii="Arial" w:hAnsi="Arial"/>
          <w:iCs/>
          <w:lang w:val="ru-RU" w:eastAsia="en-US"/>
        </w:rPr>
        <w:t xml:space="preserve"> </w:t>
      </w:r>
    </w:p>
    <w:p w14:paraId="246DFB33" w14:textId="054E19A8" w:rsidR="00D06550" w:rsidRDefault="003709AF" w:rsidP="001757E6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>
        <w:rPr>
          <w:rFonts w:ascii="Arial" w:hAnsi="Arial"/>
          <w:b/>
          <w:bCs/>
          <w:iCs/>
          <w:lang w:val="ru-RU" w:eastAsia="en-US"/>
        </w:rPr>
        <w:t>Фото</w:t>
      </w:r>
      <w:r w:rsidR="001D2A19" w:rsidRPr="00F3175A">
        <w:rPr>
          <w:rFonts w:ascii="Arial" w:hAnsi="Arial"/>
          <w:b/>
          <w:bCs/>
          <w:iCs/>
          <w:lang w:val="de-AT" w:eastAsia="en-US"/>
        </w:rPr>
        <w:t>:</w:t>
      </w:r>
    </w:p>
    <w:p w14:paraId="03D4EABE" w14:textId="44283DEA" w:rsidR="007B7D98" w:rsidRDefault="007B7D98" w:rsidP="007B7D98">
      <w:pPr>
        <w:rPr>
          <w:rFonts w:ascii="Arial" w:hAnsi="Arial"/>
          <w:b/>
          <w:bCs/>
          <w:iCs/>
          <w:lang w:val="de-AT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7B7D98" w14:paraId="1CDFE2B4" w14:textId="77777777" w:rsidTr="007B7D98">
        <w:tc>
          <w:tcPr>
            <w:tcW w:w="2832" w:type="dxa"/>
          </w:tcPr>
          <w:p w14:paraId="1C60C57B" w14:textId="373EB0DF" w:rsidR="007B7D98" w:rsidRDefault="00B04A50" w:rsidP="007B7D98">
            <w:pPr>
              <w:rPr>
                <w:rFonts w:ascii="Arial" w:hAnsi="Arial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096735E" wp14:editId="2A014F55">
                  <wp:simplePos x="0" y="0"/>
                  <wp:positionH relativeFrom="column">
                    <wp:posOffset>125197</wp:posOffset>
                  </wp:positionH>
                  <wp:positionV relativeFrom="paragraph">
                    <wp:posOffset>93193</wp:posOffset>
                  </wp:positionV>
                  <wp:extent cx="1448461" cy="814488"/>
                  <wp:effectExtent l="0" t="0" r="0" b="5080"/>
                  <wp:wrapNone/>
                  <wp:docPr id="2378210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61" cy="81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5B00BA" w14:textId="184F164C" w:rsidR="007B7D98" w:rsidRDefault="007B7D98" w:rsidP="007B7D98">
            <w:pPr>
              <w:rPr>
                <w:rFonts w:ascii="Arial" w:hAnsi="Arial"/>
                <w:lang w:val="de-AT" w:eastAsia="en-US"/>
              </w:rPr>
            </w:pPr>
          </w:p>
          <w:p w14:paraId="5E01A09E" w14:textId="570B9CE6" w:rsidR="007B7D98" w:rsidRDefault="007B7D98" w:rsidP="007B7D98">
            <w:pPr>
              <w:rPr>
                <w:rFonts w:ascii="Arial" w:hAnsi="Arial"/>
                <w:lang w:val="de-AT" w:eastAsia="en-US"/>
              </w:rPr>
            </w:pPr>
          </w:p>
          <w:p w14:paraId="46BD15F8" w14:textId="77777777" w:rsidR="007B7D98" w:rsidRDefault="007B7D98" w:rsidP="007B7D98">
            <w:pPr>
              <w:rPr>
                <w:rFonts w:ascii="Arial" w:hAnsi="Arial"/>
                <w:lang w:val="de-AT" w:eastAsia="en-US"/>
              </w:rPr>
            </w:pPr>
          </w:p>
          <w:p w14:paraId="7CB49364" w14:textId="77777777" w:rsidR="00B04A50" w:rsidRDefault="00B04A50" w:rsidP="007B7D98">
            <w:pPr>
              <w:rPr>
                <w:rFonts w:ascii="Arial" w:hAnsi="Arial"/>
                <w:lang w:val="de-AT" w:eastAsia="en-US"/>
              </w:rPr>
            </w:pPr>
          </w:p>
          <w:p w14:paraId="0A77E17B" w14:textId="644D0B76" w:rsidR="007B7D98" w:rsidRDefault="007B7D98" w:rsidP="007B7D98">
            <w:pPr>
              <w:rPr>
                <w:rFonts w:ascii="Arial" w:hAnsi="Arial"/>
                <w:lang w:val="de-AT" w:eastAsia="en-US"/>
              </w:rPr>
            </w:pPr>
          </w:p>
        </w:tc>
        <w:tc>
          <w:tcPr>
            <w:tcW w:w="2832" w:type="dxa"/>
          </w:tcPr>
          <w:p w14:paraId="3411D472" w14:textId="2AAF41C2" w:rsidR="007B7D98" w:rsidRDefault="00133716" w:rsidP="007B7D98">
            <w:pPr>
              <w:rPr>
                <w:rFonts w:ascii="Arial" w:hAnsi="Arial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22E437" wp14:editId="2E522E9B">
                  <wp:simplePos x="0" y="0"/>
                  <wp:positionH relativeFrom="column">
                    <wp:posOffset>112319</wp:posOffset>
                  </wp:positionH>
                  <wp:positionV relativeFrom="paragraph">
                    <wp:posOffset>94972</wp:posOffset>
                  </wp:positionV>
                  <wp:extent cx="1499362" cy="843110"/>
                  <wp:effectExtent l="0" t="0" r="5715" b="0"/>
                  <wp:wrapNone/>
                  <wp:docPr id="72346913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572" cy="84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</w:tcPr>
          <w:p w14:paraId="2B0FEC10" w14:textId="1B018A35" w:rsidR="007B7D98" w:rsidRDefault="006E1A60" w:rsidP="007B7D98">
            <w:pPr>
              <w:rPr>
                <w:rFonts w:ascii="Arial" w:hAnsi="Arial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3CA732D" wp14:editId="1F2BD7A0">
                  <wp:simplePos x="0" y="0"/>
                  <wp:positionH relativeFrom="column">
                    <wp:posOffset>62332</wp:posOffset>
                  </wp:positionH>
                  <wp:positionV relativeFrom="paragraph">
                    <wp:posOffset>131547</wp:posOffset>
                  </wp:positionV>
                  <wp:extent cx="1404518" cy="789777"/>
                  <wp:effectExtent l="0" t="0" r="5715" b="0"/>
                  <wp:wrapNone/>
                  <wp:docPr id="166952169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86" cy="79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7D98" w:rsidRPr="00E446AA" w14:paraId="2298CD3D" w14:textId="77777777" w:rsidTr="007B7D98">
        <w:tc>
          <w:tcPr>
            <w:tcW w:w="2832" w:type="dxa"/>
          </w:tcPr>
          <w:p w14:paraId="5408D268" w14:textId="1B453EAC" w:rsidR="007B7D98" w:rsidRPr="00E446AA" w:rsidRDefault="00E446AA" w:rsidP="007B7D98">
            <w:pPr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E446AA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Испытание на прочность для определения срока службы</w:t>
            </w:r>
          </w:p>
        </w:tc>
        <w:tc>
          <w:tcPr>
            <w:tcW w:w="2832" w:type="dxa"/>
          </w:tcPr>
          <w:p w14:paraId="717CB067" w14:textId="1CD57EDD" w:rsidR="007B7D98" w:rsidRPr="00E446AA" w:rsidRDefault="00E446AA" w:rsidP="007B7D98">
            <w:pPr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E446AA">
              <w:rPr>
                <w:rFonts w:ascii="Arial" w:hAnsi="Arial"/>
                <w:sz w:val="22"/>
                <w:szCs w:val="22"/>
                <w:lang w:val="ru-RU" w:eastAsia="en-US"/>
              </w:rPr>
              <w:t>Современная производственная площадка для инновационных вариантов тестирования - тестирование узлов</w:t>
            </w:r>
          </w:p>
        </w:tc>
        <w:tc>
          <w:tcPr>
            <w:tcW w:w="2832" w:type="dxa"/>
          </w:tcPr>
          <w:p w14:paraId="57884A57" w14:textId="576C1077" w:rsidR="007B7D98" w:rsidRPr="00E446AA" w:rsidRDefault="00E446AA" w:rsidP="007B7D98">
            <w:pPr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E446AA">
              <w:rPr>
                <w:rFonts w:ascii="Arial" w:hAnsi="Arial"/>
                <w:sz w:val="22"/>
                <w:szCs w:val="22"/>
                <w:lang w:val="ru-RU" w:eastAsia="en-US"/>
              </w:rPr>
              <w:t xml:space="preserve">Разработка прототипов является неотъемлемой частью </w:t>
            </w:r>
            <w:r w:rsidRPr="00E446AA">
              <w:rPr>
                <w:rFonts w:ascii="Arial" w:hAnsi="Arial"/>
                <w:sz w:val="22"/>
                <w:szCs w:val="22"/>
                <w:lang w:val="de-AT" w:eastAsia="en-US"/>
              </w:rPr>
              <w:t>TIZ</w:t>
            </w:r>
            <w:r w:rsidRPr="00E446AA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3</w:t>
            </w:r>
          </w:p>
        </w:tc>
      </w:tr>
      <w:tr w:rsidR="007B7D98" w:rsidRPr="006E1A60" w14:paraId="1F15DD25" w14:textId="77777777" w:rsidTr="007B7D98">
        <w:tc>
          <w:tcPr>
            <w:tcW w:w="2832" w:type="dxa"/>
          </w:tcPr>
          <w:p w14:paraId="0AA5FB16" w14:textId="36290D2A" w:rsidR="007B7D98" w:rsidRPr="006E1A60" w:rsidRDefault="00165A46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4" w:history="1">
              <w:r w:rsidR="00B45620" w:rsidRPr="006E1A60">
                <w:rPr>
                  <w:rStyle w:val="a5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https://www.poettinger.at/de_at/newsroom/pressebild/102116</w:t>
              </w:r>
            </w:hyperlink>
          </w:p>
          <w:p w14:paraId="5B066AA2" w14:textId="17863696" w:rsidR="00B45620" w:rsidRPr="006E1A60" w:rsidRDefault="00B45620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  <w:tc>
          <w:tcPr>
            <w:tcW w:w="2832" w:type="dxa"/>
          </w:tcPr>
          <w:p w14:paraId="6FCA6D7E" w14:textId="61A1F22E" w:rsidR="007B7D98" w:rsidRPr="006E1A60" w:rsidRDefault="00165A46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5" w:history="1">
              <w:r w:rsidR="002055E3" w:rsidRPr="006E1A60">
                <w:rPr>
                  <w:rStyle w:val="a5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https://www.poettinger.at/de_at/newsroom/pressebild/102114</w:t>
              </w:r>
            </w:hyperlink>
          </w:p>
          <w:p w14:paraId="2035C203" w14:textId="239A07BC" w:rsidR="002055E3" w:rsidRPr="006E1A60" w:rsidRDefault="002055E3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  <w:tc>
          <w:tcPr>
            <w:tcW w:w="2832" w:type="dxa"/>
          </w:tcPr>
          <w:p w14:paraId="59AABFF3" w14:textId="466888C4" w:rsidR="007B7D98" w:rsidRPr="006E1A60" w:rsidRDefault="00165A46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6" w:history="1">
              <w:r w:rsidR="006E1A60" w:rsidRPr="006E1A60">
                <w:rPr>
                  <w:rStyle w:val="a5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https://www.poettinger.at/de_at/newsroom/pressebild/102130</w:t>
              </w:r>
            </w:hyperlink>
          </w:p>
          <w:p w14:paraId="4960BBEA" w14:textId="38B27BC7" w:rsidR="006E1A60" w:rsidRPr="006E1A60" w:rsidRDefault="006E1A60" w:rsidP="007B7D98">
            <w:pPr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</w:tr>
    </w:tbl>
    <w:p w14:paraId="5EAA54BF" w14:textId="77777777" w:rsidR="007B7D98" w:rsidRPr="007B7D98" w:rsidRDefault="007B7D98" w:rsidP="007B7D98">
      <w:pPr>
        <w:rPr>
          <w:rFonts w:ascii="Arial" w:hAnsi="Arial"/>
          <w:lang w:val="de-AT" w:eastAsia="en-US"/>
        </w:rPr>
      </w:pPr>
    </w:p>
    <w:p w14:paraId="099E377E" w14:textId="77777777" w:rsidR="007434F1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val="de-AT" w:eastAsia="en-US"/>
        </w:rPr>
      </w:pPr>
    </w:p>
    <w:sectPr w:rsidR="007434F1" w:rsidSect="00612F9A">
      <w:headerReference w:type="default" r:id="rId17"/>
      <w:footerReference w:type="default" r:id="rId18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E8E4" w14:textId="77777777" w:rsidR="004D7F31" w:rsidRDefault="004D7F31">
      <w:r>
        <w:separator/>
      </w:r>
    </w:p>
  </w:endnote>
  <w:endnote w:type="continuationSeparator" w:id="0">
    <w:p w14:paraId="220B372E" w14:textId="77777777" w:rsidR="004D7F31" w:rsidRDefault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C75E" w14:textId="1C940B21" w:rsidR="00672366" w:rsidRDefault="00672366" w:rsidP="00A33469">
    <w:pPr>
      <w:rPr>
        <w:rFonts w:ascii="Arial" w:hAnsi="Arial"/>
        <w:b/>
        <w:sz w:val="18"/>
        <w:szCs w:val="18"/>
      </w:rPr>
    </w:pPr>
  </w:p>
  <w:p w14:paraId="0E7E207A" w14:textId="06333584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20EB30ED" w:rsidR="00A33469" w:rsidRDefault="00A33469" w:rsidP="00A33469">
    <w:pPr>
      <w:pStyle w:val="a4"/>
    </w:pPr>
    <w:r>
      <w:rPr>
        <w:rFonts w:ascii="Arial" w:hAnsi="Arial"/>
        <w:sz w:val="18"/>
        <w:szCs w:val="18"/>
      </w:rPr>
      <w:t>Tel</w:t>
    </w:r>
    <w:r w:rsidR="00D469B2">
      <w:rPr>
        <w:rFonts w:ascii="Arial" w:hAnsi="Arial"/>
        <w:sz w:val="18"/>
        <w:szCs w:val="18"/>
      </w:rPr>
      <w:t>.</w:t>
    </w:r>
    <w:r>
      <w:rPr>
        <w:rFonts w:ascii="Arial" w:hAnsi="Arial"/>
        <w:sz w:val="18"/>
        <w:szCs w:val="18"/>
      </w:rPr>
      <w:t xml:space="preserve">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A478" w14:textId="77777777" w:rsidR="004D7F31" w:rsidRDefault="004D7F31">
      <w:r>
        <w:separator/>
      </w:r>
    </w:p>
  </w:footnote>
  <w:footnote w:type="continuationSeparator" w:id="0">
    <w:p w14:paraId="253B00AF" w14:textId="77777777" w:rsidR="004D7F31" w:rsidRDefault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37C2F3EE" w:rsidR="00F6135B" w:rsidRDefault="00F15BCF" w:rsidP="00B6301F">
    <w:pPr>
      <w:pStyle w:val="a3"/>
      <w:jc w:val="center"/>
      <w:rPr>
        <w:sz w:val="28"/>
        <w:szCs w:val="28"/>
      </w:rPr>
    </w:pPr>
    <w:r w:rsidRPr="003708F8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1180A3F" wp14:editId="42335B96">
          <wp:simplePos x="0" y="0"/>
          <wp:positionH relativeFrom="column">
            <wp:posOffset>3338830</wp:posOffset>
          </wp:positionH>
          <wp:positionV relativeFrom="paragraph">
            <wp:posOffset>133350</wp:posOffset>
          </wp:positionV>
          <wp:extent cx="2190750" cy="228600"/>
          <wp:effectExtent l="0" t="0" r="0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804AA8" w14:textId="53C48AAE" w:rsidR="00F6135B" w:rsidRPr="00E446AA" w:rsidRDefault="00E446AA" w:rsidP="00A33469">
    <w:pPr>
      <w:pStyle w:val="a3"/>
      <w:rPr>
        <w:rFonts w:ascii="Arial" w:hAnsi="Arial" w:cs="Arial"/>
        <w:b/>
        <w:lang w:val="ru-RU"/>
      </w:rPr>
    </w:pPr>
    <w:r>
      <w:rPr>
        <w:rFonts w:ascii="Arial" w:hAnsi="Arial" w:cs="Arial"/>
        <w:b/>
        <w:lang w:val="ru-RU"/>
      </w:rPr>
      <w:t>Пресс-релиз</w:t>
    </w:r>
  </w:p>
  <w:p w14:paraId="05BD0C8A" w14:textId="77777777" w:rsidR="00A33469" w:rsidRDefault="00A33469" w:rsidP="00A33469">
    <w:pPr>
      <w:pStyle w:val="a3"/>
      <w:rPr>
        <w:sz w:val="18"/>
        <w:szCs w:val="18"/>
      </w:rPr>
    </w:pPr>
  </w:p>
  <w:p w14:paraId="4096C720" w14:textId="34AA2563" w:rsidR="007347D6" w:rsidRDefault="007347D6" w:rsidP="00A33469">
    <w:pPr>
      <w:pStyle w:val="a3"/>
      <w:rPr>
        <w:sz w:val="18"/>
        <w:szCs w:val="18"/>
      </w:rPr>
    </w:pPr>
  </w:p>
  <w:p w14:paraId="7E6927C5" w14:textId="77777777" w:rsidR="001757E6" w:rsidRPr="007347D6" w:rsidRDefault="001757E6" w:rsidP="00A3346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63F"/>
    <w:multiLevelType w:val="hybridMultilevel"/>
    <w:tmpl w:val="9B4AFB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6053"/>
    <w:multiLevelType w:val="hybridMultilevel"/>
    <w:tmpl w:val="4BEC26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A436C"/>
    <w:multiLevelType w:val="hybridMultilevel"/>
    <w:tmpl w:val="7E24892C"/>
    <w:lvl w:ilvl="0" w:tplc="F89AC2D8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62628">
    <w:abstractNumId w:val="1"/>
  </w:num>
  <w:num w:numId="2" w16cid:durableId="638152775">
    <w:abstractNumId w:val="0"/>
  </w:num>
  <w:num w:numId="3" w16cid:durableId="142988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32E"/>
    <w:rsid w:val="00007AEA"/>
    <w:rsid w:val="000205FC"/>
    <w:rsid w:val="0003489A"/>
    <w:rsid w:val="00052CCB"/>
    <w:rsid w:val="00061381"/>
    <w:rsid w:val="00075E15"/>
    <w:rsid w:val="00081E10"/>
    <w:rsid w:val="00085A93"/>
    <w:rsid w:val="00086902"/>
    <w:rsid w:val="000A10AB"/>
    <w:rsid w:val="000A790C"/>
    <w:rsid w:val="000C3E21"/>
    <w:rsid w:val="000D0E88"/>
    <w:rsid w:val="000E5B0C"/>
    <w:rsid w:val="000F3FD6"/>
    <w:rsid w:val="00107182"/>
    <w:rsid w:val="00110DAA"/>
    <w:rsid w:val="00121BB0"/>
    <w:rsid w:val="00133716"/>
    <w:rsid w:val="00136FF1"/>
    <w:rsid w:val="00156F23"/>
    <w:rsid w:val="00157C31"/>
    <w:rsid w:val="001606FB"/>
    <w:rsid w:val="001640EB"/>
    <w:rsid w:val="00165A46"/>
    <w:rsid w:val="00173FF1"/>
    <w:rsid w:val="001757E6"/>
    <w:rsid w:val="001775C1"/>
    <w:rsid w:val="0018043B"/>
    <w:rsid w:val="00180878"/>
    <w:rsid w:val="00194B05"/>
    <w:rsid w:val="001B1EC0"/>
    <w:rsid w:val="001C64C8"/>
    <w:rsid w:val="001D2114"/>
    <w:rsid w:val="001D27B2"/>
    <w:rsid w:val="001D2A19"/>
    <w:rsid w:val="001E2540"/>
    <w:rsid w:val="001E4EFC"/>
    <w:rsid w:val="001F5B87"/>
    <w:rsid w:val="002055E3"/>
    <w:rsid w:val="00214794"/>
    <w:rsid w:val="00222CC5"/>
    <w:rsid w:val="00226187"/>
    <w:rsid w:val="00235E86"/>
    <w:rsid w:val="002407CE"/>
    <w:rsid w:val="00251A82"/>
    <w:rsid w:val="00265035"/>
    <w:rsid w:val="002672D8"/>
    <w:rsid w:val="002675F6"/>
    <w:rsid w:val="002814DB"/>
    <w:rsid w:val="0029260F"/>
    <w:rsid w:val="002932FD"/>
    <w:rsid w:val="002A3B80"/>
    <w:rsid w:val="002A4CCB"/>
    <w:rsid w:val="002A71B5"/>
    <w:rsid w:val="002B72A8"/>
    <w:rsid w:val="002C79B7"/>
    <w:rsid w:val="002D77CD"/>
    <w:rsid w:val="002E03EA"/>
    <w:rsid w:val="002E344C"/>
    <w:rsid w:val="002E4F09"/>
    <w:rsid w:val="0031205A"/>
    <w:rsid w:val="00330F39"/>
    <w:rsid w:val="003315A8"/>
    <w:rsid w:val="00340BF4"/>
    <w:rsid w:val="00346A7E"/>
    <w:rsid w:val="00362788"/>
    <w:rsid w:val="003641D8"/>
    <w:rsid w:val="00367B09"/>
    <w:rsid w:val="003709AF"/>
    <w:rsid w:val="00377521"/>
    <w:rsid w:val="00382AC6"/>
    <w:rsid w:val="00386169"/>
    <w:rsid w:val="00393F92"/>
    <w:rsid w:val="00395A39"/>
    <w:rsid w:val="003A30EC"/>
    <w:rsid w:val="003A63DD"/>
    <w:rsid w:val="003A6489"/>
    <w:rsid w:val="003D78EE"/>
    <w:rsid w:val="004000F6"/>
    <w:rsid w:val="00402A3C"/>
    <w:rsid w:val="00412030"/>
    <w:rsid w:val="004237BC"/>
    <w:rsid w:val="00423E68"/>
    <w:rsid w:val="00424E09"/>
    <w:rsid w:val="0042695D"/>
    <w:rsid w:val="00434B51"/>
    <w:rsid w:val="00442732"/>
    <w:rsid w:val="00450350"/>
    <w:rsid w:val="004C6E63"/>
    <w:rsid w:val="004D2E83"/>
    <w:rsid w:val="004D3180"/>
    <w:rsid w:val="004D7F31"/>
    <w:rsid w:val="00504F0C"/>
    <w:rsid w:val="005112C9"/>
    <w:rsid w:val="00513CB4"/>
    <w:rsid w:val="005256FB"/>
    <w:rsid w:val="00544C84"/>
    <w:rsid w:val="0054793B"/>
    <w:rsid w:val="005548EB"/>
    <w:rsid w:val="00554A29"/>
    <w:rsid w:val="005620A8"/>
    <w:rsid w:val="00583A9C"/>
    <w:rsid w:val="005A1EF1"/>
    <w:rsid w:val="005A2714"/>
    <w:rsid w:val="005A64FE"/>
    <w:rsid w:val="005C1902"/>
    <w:rsid w:val="005C4530"/>
    <w:rsid w:val="005D29DF"/>
    <w:rsid w:val="005E0A15"/>
    <w:rsid w:val="005E1322"/>
    <w:rsid w:val="005F2830"/>
    <w:rsid w:val="005F3ACC"/>
    <w:rsid w:val="006051A9"/>
    <w:rsid w:val="00612F9A"/>
    <w:rsid w:val="00626429"/>
    <w:rsid w:val="00632BBA"/>
    <w:rsid w:val="00644C77"/>
    <w:rsid w:val="00655BC5"/>
    <w:rsid w:val="00672366"/>
    <w:rsid w:val="0068251D"/>
    <w:rsid w:val="006873DD"/>
    <w:rsid w:val="006A1FE2"/>
    <w:rsid w:val="006A2C6A"/>
    <w:rsid w:val="006A33D2"/>
    <w:rsid w:val="006A638D"/>
    <w:rsid w:val="006A6454"/>
    <w:rsid w:val="006B6BF4"/>
    <w:rsid w:val="006C6C91"/>
    <w:rsid w:val="006D0AFD"/>
    <w:rsid w:val="006D23CE"/>
    <w:rsid w:val="006D24C5"/>
    <w:rsid w:val="006D4475"/>
    <w:rsid w:val="006E1A60"/>
    <w:rsid w:val="006E67B5"/>
    <w:rsid w:val="006E6F83"/>
    <w:rsid w:val="006E74FC"/>
    <w:rsid w:val="00702764"/>
    <w:rsid w:val="007111B5"/>
    <w:rsid w:val="007155BE"/>
    <w:rsid w:val="00716176"/>
    <w:rsid w:val="00720158"/>
    <w:rsid w:val="00730F0F"/>
    <w:rsid w:val="00732034"/>
    <w:rsid w:val="007346FA"/>
    <w:rsid w:val="007347D6"/>
    <w:rsid w:val="00736230"/>
    <w:rsid w:val="00741AF3"/>
    <w:rsid w:val="007434F1"/>
    <w:rsid w:val="007533A5"/>
    <w:rsid w:val="00755CF0"/>
    <w:rsid w:val="00762246"/>
    <w:rsid w:val="00772F9B"/>
    <w:rsid w:val="00780CF0"/>
    <w:rsid w:val="007835CA"/>
    <w:rsid w:val="007858B5"/>
    <w:rsid w:val="007A2E8D"/>
    <w:rsid w:val="007B0E9E"/>
    <w:rsid w:val="007B3404"/>
    <w:rsid w:val="007B5FD8"/>
    <w:rsid w:val="007B7D98"/>
    <w:rsid w:val="007C6109"/>
    <w:rsid w:val="007D5642"/>
    <w:rsid w:val="007D7195"/>
    <w:rsid w:val="007E2165"/>
    <w:rsid w:val="008009A2"/>
    <w:rsid w:val="0081048E"/>
    <w:rsid w:val="00814B95"/>
    <w:rsid w:val="008170AA"/>
    <w:rsid w:val="0082756D"/>
    <w:rsid w:val="008447BF"/>
    <w:rsid w:val="00873011"/>
    <w:rsid w:val="00886C37"/>
    <w:rsid w:val="008A599A"/>
    <w:rsid w:val="008B030A"/>
    <w:rsid w:val="008B2116"/>
    <w:rsid w:val="008B327B"/>
    <w:rsid w:val="008B4FF4"/>
    <w:rsid w:val="008D66CF"/>
    <w:rsid w:val="008F3A51"/>
    <w:rsid w:val="00900F5B"/>
    <w:rsid w:val="00903490"/>
    <w:rsid w:val="00906406"/>
    <w:rsid w:val="00951655"/>
    <w:rsid w:val="00952484"/>
    <w:rsid w:val="00953FFE"/>
    <w:rsid w:val="0096417D"/>
    <w:rsid w:val="00964474"/>
    <w:rsid w:val="00981FAA"/>
    <w:rsid w:val="0098240D"/>
    <w:rsid w:val="0099340C"/>
    <w:rsid w:val="00994EF0"/>
    <w:rsid w:val="00995C48"/>
    <w:rsid w:val="009A0AC8"/>
    <w:rsid w:val="009C500C"/>
    <w:rsid w:val="009D1503"/>
    <w:rsid w:val="009D3B20"/>
    <w:rsid w:val="009F08D4"/>
    <w:rsid w:val="00A048D0"/>
    <w:rsid w:val="00A215E1"/>
    <w:rsid w:val="00A243E4"/>
    <w:rsid w:val="00A26BCF"/>
    <w:rsid w:val="00A27398"/>
    <w:rsid w:val="00A33469"/>
    <w:rsid w:val="00A50CF2"/>
    <w:rsid w:val="00A5299E"/>
    <w:rsid w:val="00A532AA"/>
    <w:rsid w:val="00A56911"/>
    <w:rsid w:val="00A7212E"/>
    <w:rsid w:val="00A723F7"/>
    <w:rsid w:val="00A7345A"/>
    <w:rsid w:val="00A74A61"/>
    <w:rsid w:val="00A86FFA"/>
    <w:rsid w:val="00A92AAE"/>
    <w:rsid w:val="00A94628"/>
    <w:rsid w:val="00AA0324"/>
    <w:rsid w:val="00AA4663"/>
    <w:rsid w:val="00AB548C"/>
    <w:rsid w:val="00AB6E71"/>
    <w:rsid w:val="00AC4FFA"/>
    <w:rsid w:val="00AC7677"/>
    <w:rsid w:val="00AD71EA"/>
    <w:rsid w:val="00AD7338"/>
    <w:rsid w:val="00AE6FB7"/>
    <w:rsid w:val="00AF56CD"/>
    <w:rsid w:val="00B03A21"/>
    <w:rsid w:val="00B04A50"/>
    <w:rsid w:val="00B05151"/>
    <w:rsid w:val="00B16EDD"/>
    <w:rsid w:val="00B2520B"/>
    <w:rsid w:val="00B36AD4"/>
    <w:rsid w:val="00B4098D"/>
    <w:rsid w:val="00B43758"/>
    <w:rsid w:val="00B45620"/>
    <w:rsid w:val="00B505AC"/>
    <w:rsid w:val="00B6301F"/>
    <w:rsid w:val="00B70286"/>
    <w:rsid w:val="00B70BDA"/>
    <w:rsid w:val="00B71453"/>
    <w:rsid w:val="00B753FE"/>
    <w:rsid w:val="00B75773"/>
    <w:rsid w:val="00B76719"/>
    <w:rsid w:val="00BC5764"/>
    <w:rsid w:val="00BE48A7"/>
    <w:rsid w:val="00BF0472"/>
    <w:rsid w:val="00BF0679"/>
    <w:rsid w:val="00BF2519"/>
    <w:rsid w:val="00BF7C81"/>
    <w:rsid w:val="00C24835"/>
    <w:rsid w:val="00C27AC8"/>
    <w:rsid w:val="00C356E1"/>
    <w:rsid w:val="00C412E5"/>
    <w:rsid w:val="00C4401D"/>
    <w:rsid w:val="00C5525D"/>
    <w:rsid w:val="00C57D52"/>
    <w:rsid w:val="00C650D6"/>
    <w:rsid w:val="00C700F0"/>
    <w:rsid w:val="00C747E6"/>
    <w:rsid w:val="00C92091"/>
    <w:rsid w:val="00C95E15"/>
    <w:rsid w:val="00CB37E1"/>
    <w:rsid w:val="00CD313F"/>
    <w:rsid w:val="00CE253A"/>
    <w:rsid w:val="00CF0B58"/>
    <w:rsid w:val="00D06550"/>
    <w:rsid w:val="00D149F8"/>
    <w:rsid w:val="00D3161F"/>
    <w:rsid w:val="00D35720"/>
    <w:rsid w:val="00D469B2"/>
    <w:rsid w:val="00D67BD3"/>
    <w:rsid w:val="00D67FC7"/>
    <w:rsid w:val="00D93C5E"/>
    <w:rsid w:val="00DB1640"/>
    <w:rsid w:val="00DD00B2"/>
    <w:rsid w:val="00DE4BB1"/>
    <w:rsid w:val="00DE53FA"/>
    <w:rsid w:val="00E04E03"/>
    <w:rsid w:val="00E05F0F"/>
    <w:rsid w:val="00E446AA"/>
    <w:rsid w:val="00E612A3"/>
    <w:rsid w:val="00E62377"/>
    <w:rsid w:val="00E62EC5"/>
    <w:rsid w:val="00E63B6C"/>
    <w:rsid w:val="00E64DFF"/>
    <w:rsid w:val="00E76A59"/>
    <w:rsid w:val="00EA32EE"/>
    <w:rsid w:val="00EC6F81"/>
    <w:rsid w:val="00ED1EE7"/>
    <w:rsid w:val="00ED5A4E"/>
    <w:rsid w:val="00F078E3"/>
    <w:rsid w:val="00F15BCF"/>
    <w:rsid w:val="00F26363"/>
    <w:rsid w:val="00F2723A"/>
    <w:rsid w:val="00F3175A"/>
    <w:rsid w:val="00F35AE3"/>
    <w:rsid w:val="00F43073"/>
    <w:rsid w:val="00F466C5"/>
    <w:rsid w:val="00F4799B"/>
    <w:rsid w:val="00F6135B"/>
    <w:rsid w:val="00F66144"/>
    <w:rsid w:val="00F804D1"/>
    <w:rsid w:val="00F80D89"/>
    <w:rsid w:val="00F8257C"/>
    <w:rsid w:val="00F8633C"/>
    <w:rsid w:val="00F868AE"/>
    <w:rsid w:val="00F925B9"/>
    <w:rsid w:val="00F96952"/>
    <w:rsid w:val="00FB0CDE"/>
    <w:rsid w:val="00FB3165"/>
    <w:rsid w:val="00FD7EAB"/>
    <w:rsid w:val="00FF10FB"/>
    <w:rsid w:val="00FF1637"/>
    <w:rsid w:val="00FF1FBF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1F"/>
    <w:rPr>
      <w:sz w:val="24"/>
      <w:szCs w:val="24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301F"/>
    <w:pPr>
      <w:tabs>
        <w:tab w:val="center" w:pos="4536"/>
        <w:tab w:val="right" w:pos="9072"/>
      </w:tabs>
    </w:pPr>
  </w:style>
  <w:style w:type="character" w:styleId="a5">
    <w:name w:val="Hyperlink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6">
    <w:name w:val="Table Grid"/>
    <w:basedOn w:val="a1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1203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1617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b">
    <w:name w:val="Revision"/>
    <w:hidden/>
    <w:uiPriority w:val="99"/>
    <w:semiHidden/>
    <w:rsid w:val="00BF0679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4273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427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273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27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2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1021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10211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0211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191342B2-201E-4114-BAAB-BA63EB122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http://schemas.microsoft.com/office/2006/documentManagement/types"/>
    <ds:schemaRef ds:uri="0c9fabd4-836a-42ce-ab3b-240b75e507cf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ffa3695f-fc9d-43a0-9b89-e443cfa54e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4221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150 Jahre PÖTTINGER</vt:lpstr>
      <vt:lpstr>150 Jahre PÖTTINGER</vt:lpstr>
      <vt:lpstr>Presseinformation</vt:lpstr>
    </vt:vector>
  </TitlesOfParts>
  <Company>Poettinger Maschinenfabrik GmbH</Company>
  <LinksUpToDate>false</LinksUpToDate>
  <CharactersWithSpaces>4760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Polikarpova Tatiana</cp:lastModifiedBy>
  <cp:revision>21</cp:revision>
  <cp:lastPrinted>2020-12-17T14:13:00Z</cp:lastPrinted>
  <dcterms:created xsi:type="dcterms:W3CDTF">2023-07-19T12:27:00Z</dcterms:created>
  <dcterms:modified xsi:type="dcterms:W3CDTF">2023-12-19T11:15:00Z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MediaServiceImageTags">
    <vt:lpwstr/>
  </property>
</Properties>
</file>