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34078" w14:textId="21EBF9E9" w:rsidR="00676EA6" w:rsidRPr="00D611B5" w:rsidRDefault="00676EA6" w:rsidP="00561174">
      <w:pPr>
        <w:spacing w:line="360" w:lineRule="auto"/>
        <w:jc w:val="both"/>
        <w:rPr>
          <w:rFonts w:ascii="Arial" w:hAnsi="Arial" w:cs="Arial"/>
          <w:sz w:val="38"/>
          <w:szCs w:val="38"/>
        </w:rPr>
      </w:pPr>
      <w:r w:rsidRPr="00D611B5">
        <w:rPr>
          <w:rFonts w:ascii="Arial" w:hAnsi="Arial"/>
          <w:sz w:val="38"/>
          <w:szCs w:val="38"/>
        </w:rPr>
        <w:t>Nowość: LION 103 C, składane brony wirnikowe</w:t>
      </w:r>
    </w:p>
    <w:p w14:paraId="29A5A839" w14:textId="77777777" w:rsidR="00676EA6" w:rsidRPr="00D611B5" w:rsidRDefault="00676EA6" w:rsidP="00561174">
      <w:pPr>
        <w:spacing w:line="360" w:lineRule="auto"/>
        <w:jc w:val="both"/>
        <w:rPr>
          <w:rFonts w:ascii="Arial" w:hAnsi="Arial" w:cs="Arial"/>
          <w:sz w:val="30"/>
          <w:szCs w:val="30"/>
        </w:rPr>
      </w:pPr>
      <w:r w:rsidRPr="00D611B5">
        <w:rPr>
          <w:rFonts w:ascii="Arial" w:hAnsi="Arial"/>
          <w:sz w:val="30"/>
          <w:szCs w:val="30"/>
        </w:rPr>
        <w:t>Kompaktowe i wszechstronne dla najlepszych efektów pracy</w:t>
      </w:r>
    </w:p>
    <w:p w14:paraId="78FFECBE" w14:textId="77777777" w:rsidR="00D611B5" w:rsidRDefault="00D611B5" w:rsidP="00004085">
      <w:pPr>
        <w:spacing w:line="360" w:lineRule="auto"/>
        <w:jc w:val="both"/>
        <w:rPr>
          <w:rFonts w:ascii="Arial" w:hAnsi="Arial"/>
          <w:color w:val="000000"/>
        </w:rPr>
      </w:pPr>
    </w:p>
    <w:p w14:paraId="7812424C" w14:textId="11AEC673" w:rsidR="00C240D0" w:rsidRDefault="00C34C52" w:rsidP="00004085">
      <w:pPr>
        <w:spacing w:line="360" w:lineRule="auto"/>
        <w:jc w:val="both"/>
        <w:rPr>
          <w:rFonts w:ascii="Arial" w:hAnsi="Arial" w:cs="Arial"/>
          <w:color w:val="000000"/>
        </w:rPr>
      </w:pPr>
      <w:r>
        <w:rPr>
          <w:rFonts w:ascii="Arial" w:hAnsi="Arial"/>
          <w:color w:val="000000"/>
        </w:rPr>
        <w:t xml:space="preserve">Nowe modele LION 403 C  i LION 503 C o szerokościach roboczych 4,0 i 5,0 m pojawią się w ofercie Pöttinger od listopada 2020. We współpracy z ciągnikami mocy do 320 KM doskonale radzą sobie w najcięższych warunkach pracy. </w:t>
      </w:r>
    </w:p>
    <w:p w14:paraId="15B522E7" w14:textId="12131B0F" w:rsidR="00E6284A" w:rsidRPr="00906512" w:rsidRDefault="00E6284A" w:rsidP="00004085">
      <w:pPr>
        <w:spacing w:line="360" w:lineRule="auto"/>
        <w:jc w:val="both"/>
        <w:rPr>
          <w:rFonts w:ascii="Arial" w:hAnsi="Arial" w:cs="Arial"/>
          <w:color w:val="000000"/>
        </w:rPr>
      </w:pPr>
      <w:r>
        <w:rPr>
          <w:rFonts w:ascii="Arial" w:hAnsi="Arial"/>
          <w:color w:val="000000"/>
        </w:rPr>
        <w:t xml:space="preserve">Podczas prac konstruktorskich nad nowymi modelami szczególny nacisk położono na aktualne i spodziewane w przyszłości wymagania rynku dotyczące obsługi i elastyczności w zastosowaniu. Wszystkie miejsca obsługi regulacji i ustawienia maszyny są tak zlokalizowane, aby operator miał wygodny i bezpieczny do nich dostęp. Praktyka pokazuje, że korzystanie z możliwości dopasowania maszyny do warunków pracy jest wówczas w pełni wykorzystywane, gdy obsługa jest prosta i bazuje na wielokrotnie stosowanej skali. </w:t>
      </w:r>
    </w:p>
    <w:p w14:paraId="18CE856B" w14:textId="37FBCB1E" w:rsidR="00E6284A" w:rsidRDefault="00DC1DA9" w:rsidP="00004085">
      <w:pPr>
        <w:spacing w:line="360" w:lineRule="auto"/>
        <w:jc w:val="both"/>
        <w:rPr>
          <w:rFonts w:ascii="Arial" w:hAnsi="Arial" w:cs="Arial"/>
          <w:color w:val="000000"/>
        </w:rPr>
      </w:pPr>
      <w:r>
        <w:rPr>
          <w:rFonts w:ascii="Arial" w:hAnsi="Arial"/>
          <w:color w:val="000000"/>
        </w:rPr>
        <w:t>W kombinacji ze składaną szyną wysiewającą zestaw stanowi wyjątkowo wydajne i sprawne urządzenie. Z pewnością zasługuje na określenie ,, maszyna uniwersalna".</w:t>
      </w:r>
    </w:p>
    <w:p w14:paraId="6DD847CE" w14:textId="77777777" w:rsidR="00561174" w:rsidRPr="00C40087" w:rsidRDefault="00561174" w:rsidP="00004085">
      <w:pPr>
        <w:spacing w:line="360" w:lineRule="auto"/>
        <w:jc w:val="both"/>
        <w:rPr>
          <w:rFonts w:ascii="Arial" w:hAnsi="Arial" w:cs="Arial"/>
          <w:b/>
          <w:lang w:eastAsia="de-DE"/>
        </w:rPr>
      </w:pPr>
    </w:p>
    <w:p w14:paraId="6FFA4F02" w14:textId="265069C0" w:rsidR="00C34C52" w:rsidRDefault="00561174" w:rsidP="00004085">
      <w:pPr>
        <w:spacing w:line="360" w:lineRule="auto"/>
        <w:jc w:val="both"/>
        <w:rPr>
          <w:rFonts w:ascii="Arial" w:hAnsi="Arial" w:cs="Arial"/>
          <w:color w:val="000000"/>
        </w:rPr>
      </w:pPr>
      <w:r>
        <w:rPr>
          <w:rFonts w:ascii="Arial" w:hAnsi="Arial"/>
          <w:b/>
        </w:rPr>
        <w:t>Kompaktowa i krótka budowa</w:t>
      </w:r>
    </w:p>
    <w:p w14:paraId="18CB2FA3" w14:textId="77777777" w:rsidR="00C40087" w:rsidRDefault="00906512" w:rsidP="00C240D0">
      <w:pPr>
        <w:spacing w:line="360" w:lineRule="auto"/>
        <w:jc w:val="both"/>
        <w:rPr>
          <w:rFonts w:ascii="Arial" w:hAnsi="Arial"/>
          <w:color w:val="000000"/>
        </w:rPr>
      </w:pPr>
      <w:r>
        <w:rPr>
          <w:rFonts w:ascii="Arial" w:hAnsi="Arial"/>
          <w:color w:val="000000"/>
        </w:rPr>
        <w:t xml:space="preserve">Koncepcja składanej ramy została opracowana z uwzględnieniem najbardziej aktualnych wymagań rynku: Kozioł zawieszenia i cała składana rama są osadzone na maszynie. Efektem tego jest bardzo krótka i zwarta budowa brony, która jest do 30 cm krótsza niż w przypadku innych bron. Dzięki temu punkt ciężkości został przesunięty bliżej tylnej osi i przez to przednia oś jest zdecydowanie mniej obciążona. Do transportu po drogach obydwa modele </w:t>
      </w:r>
    </w:p>
    <w:p w14:paraId="039308F2" w14:textId="71CDD61C" w:rsidR="00C240D0" w:rsidRDefault="00906512" w:rsidP="00C240D0">
      <w:pPr>
        <w:spacing w:line="360" w:lineRule="auto"/>
        <w:jc w:val="both"/>
        <w:rPr>
          <w:rFonts w:ascii="Arial" w:hAnsi="Arial" w:cs="Arial"/>
          <w:color w:val="000000"/>
        </w:rPr>
      </w:pPr>
      <w:r>
        <w:rPr>
          <w:rFonts w:ascii="Arial" w:hAnsi="Arial"/>
          <w:color w:val="000000"/>
        </w:rPr>
        <w:t xml:space="preserve">można złożyć do szerokości 2,55m. Przejazd po drogach publicznym może zatem odbywać się bez przeszkód. </w:t>
      </w:r>
    </w:p>
    <w:p w14:paraId="6337CA5C" w14:textId="77777777" w:rsidR="00C240D0" w:rsidRPr="00C40087" w:rsidRDefault="00C240D0" w:rsidP="00C240D0">
      <w:pPr>
        <w:spacing w:line="360" w:lineRule="auto"/>
        <w:jc w:val="both"/>
        <w:rPr>
          <w:rFonts w:ascii="Arial" w:hAnsi="Arial" w:cs="Arial"/>
          <w:color w:val="000000"/>
          <w:lang w:eastAsia="de-DE"/>
        </w:rPr>
      </w:pPr>
    </w:p>
    <w:p w14:paraId="24FA59F2" w14:textId="77777777" w:rsidR="0096538D" w:rsidRDefault="0096538D" w:rsidP="005B556D">
      <w:pPr>
        <w:spacing w:line="360" w:lineRule="auto"/>
        <w:jc w:val="both"/>
        <w:rPr>
          <w:rFonts w:ascii="Arial" w:hAnsi="Arial"/>
          <w:b/>
          <w:color w:val="000000"/>
        </w:rPr>
      </w:pPr>
      <w:bookmarkStart w:id="0" w:name="_Hlk45975795"/>
    </w:p>
    <w:p w14:paraId="0436259B" w14:textId="77777777" w:rsidR="0096538D" w:rsidRDefault="0096538D" w:rsidP="005B556D">
      <w:pPr>
        <w:spacing w:line="360" w:lineRule="auto"/>
        <w:jc w:val="both"/>
        <w:rPr>
          <w:rFonts w:ascii="Arial" w:hAnsi="Arial"/>
          <w:b/>
          <w:color w:val="000000"/>
        </w:rPr>
      </w:pPr>
    </w:p>
    <w:p w14:paraId="5DFE998B" w14:textId="33594EF0" w:rsidR="005B556D" w:rsidRPr="00782722" w:rsidRDefault="005B556D" w:rsidP="005B556D">
      <w:pPr>
        <w:spacing w:line="360" w:lineRule="auto"/>
        <w:jc w:val="both"/>
        <w:rPr>
          <w:rFonts w:ascii="Arial" w:hAnsi="Arial" w:cs="Arial"/>
          <w:b/>
          <w:color w:val="000000"/>
        </w:rPr>
      </w:pPr>
      <w:bookmarkStart w:id="1" w:name="_GoBack"/>
      <w:bookmarkEnd w:id="1"/>
      <w:r>
        <w:rPr>
          <w:rFonts w:ascii="Arial" w:hAnsi="Arial"/>
          <w:b/>
          <w:color w:val="000000"/>
        </w:rPr>
        <w:lastRenderedPageBreak/>
        <w:t>Rozwiązanie na każde warunki pracy</w:t>
      </w:r>
    </w:p>
    <w:p w14:paraId="46F9E142" w14:textId="738483AE" w:rsidR="005B556D" w:rsidRDefault="005B556D" w:rsidP="005B556D">
      <w:pPr>
        <w:spacing w:line="360" w:lineRule="auto"/>
        <w:jc w:val="both"/>
        <w:rPr>
          <w:rFonts w:ascii="Arial" w:hAnsi="Arial" w:cs="Arial"/>
          <w:color w:val="000000"/>
        </w:rPr>
      </w:pPr>
      <w:r>
        <w:rPr>
          <w:rFonts w:ascii="Arial" w:hAnsi="Arial"/>
          <w:color w:val="000000"/>
        </w:rPr>
        <w:t>Moc ciągników wzrasta,</w:t>
      </w:r>
      <w:r w:rsidR="00C40087">
        <w:rPr>
          <w:rFonts w:ascii="Arial" w:hAnsi="Arial"/>
          <w:color w:val="000000"/>
        </w:rPr>
        <w:t xml:space="preserve"> </w:t>
      </w:r>
      <w:r>
        <w:rPr>
          <w:rFonts w:ascii="Arial" w:hAnsi="Arial"/>
        </w:rPr>
        <w:t>wzras</w:t>
      </w:r>
      <w:r w:rsidR="00C40087">
        <w:rPr>
          <w:rFonts w:ascii="Arial" w:hAnsi="Arial"/>
        </w:rPr>
        <w:t>tają</w:t>
      </w:r>
      <w:r>
        <w:rPr>
          <w:rFonts w:ascii="Arial" w:hAnsi="Arial"/>
        </w:rPr>
        <w:t xml:space="preserve"> przy tym również</w:t>
      </w:r>
      <w:r w:rsidR="00C40087">
        <w:rPr>
          <w:rFonts w:ascii="Arial" w:hAnsi="Arial"/>
        </w:rPr>
        <w:t xml:space="preserve"> </w:t>
      </w:r>
      <w:r>
        <w:rPr>
          <w:rFonts w:ascii="Arial" w:hAnsi="Arial"/>
          <w:color w:val="000000"/>
        </w:rPr>
        <w:t>możliwości wykorzystania maszyn w pracy Oprócz zastosowania brony wirnikowej do pracy solo konieczne jest wykorzystanie jej również szerzej. Takim elastycznym rozwiązaniem jest możliwość kombinacji brony z zawieszanymi siewnikami z przednim zbiornikiem na ziarno. Dzięki zwartej i krótkiej budowie ciężar siewnika został przesunięty  do przodu. To ma bardzo pozytywny wpływ na właściwości jezdne ciągnika.</w:t>
      </w:r>
    </w:p>
    <w:p w14:paraId="641994A2" w14:textId="632159EA" w:rsidR="005B556D" w:rsidRDefault="005B556D" w:rsidP="005B556D">
      <w:pPr>
        <w:spacing w:line="360" w:lineRule="auto"/>
        <w:jc w:val="both"/>
        <w:rPr>
          <w:rFonts w:ascii="Arial" w:hAnsi="Arial" w:cs="Arial"/>
          <w:color w:val="000000"/>
        </w:rPr>
      </w:pPr>
      <w:r>
        <w:rPr>
          <w:rFonts w:ascii="Arial" w:hAnsi="Arial"/>
          <w:color w:val="000000"/>
        </w:rPr>
        <w:t xml:space="preserve">Obydwa modele LION są wyposażone w cztery wirniki na metr szerokości roboczej. Dzięki temu przy dużych szerokościach roboczych możliwa jest współpraca z mniejszymi ciągnikami.  </w:t>
      </w:r>
    </w:p>
    <w:p w14:paraId="05F72193" w14:textId="77777777" w:rsidR="005B556D" w:rsidRPr="00C40087" w:rsidRDefault="005B556D" w:rsidP="00C34C52">
      <w:pPr>
        <w:spacing w:line="360" w:lineRule="auto"/>
        <w:jc w:val="both"/>
        <w:rPr>
          <w:rFonts w:ascii="Arial" w:hAnsi="Arial" w:cs="Arial"/>
          <w:b/>
          <w:lang w:eastAsia="de-DE"/>
        </w:rPr>
      </w:pPr>
    </w:p>
    <w:p w14:paraId="287E5CC0" w14:textId="587F8DCC" w:rsidR="00E6284A" w:rsidRPr="00E6284A" w:rsidRDefault="00C34C52" w:rsidP="00C34C52">
      <w:pPr>
        <w:spacing w:line="360" w:lineRule="auto"/>
        <w:jc w:val="both"/>
        <w:rPr>
          <w:rFonts w:ascii="Arial" w:hAnsi="Arial" w:cs="Arial"/>
          <w:b/>
        </w:rPr>
      </w:pPr>
      <w:r>
        <w:rPr>
          <w:rFonts w:ascii="Arial" w:hAnsi="Arial"/>
          <w:b/>
        </w:rPr>
        <w:t>Najłatwiejsza</w:t>
      </w:r>
      <w:bookmarkEnd w:id="0"/>
      <w:r w:rsidR="00C40087">
        <w:rPr>
          <w:rFonts w:ascii="Arial" w:hAnsi="Arial"/>
          <w:b/>
        </w:rPr>
        <w:t xml:space="preserve"> </w:t>
      </w:r>
      <w:r>
        <w:rPr>
          <w:rFonts w:ascii="Arial" w:hAnsi="Arial"/>
          <w:b/>
        </w:rPr>
        <w:t xml:space="preserve">regulacja ustawienia głębokości roboczej </w:t>
      </w:r>
    </w:p>
    <w:p w14:paraId="2024F4D9" w14:textId="0920F2C6" w:rsidR="00C240D0" w:rsidRDefault="00E6284A" w:rsidP="00004085">
      <w:pPr>
        <w:spacing w:line="360" w:lineRule="auto"/>
        <w:jc w:val="both"/>
        <w:rPr>
          <w:rFonts w:ascii="Arial" w:hAnsi="Arial" w:cs="Arial"/>
          <w:color w:val="000000"/>
        </w:rPr>
      </w:pPr>
      <w:r>
        <w:rPr>
          <w:rFonts w:ascii="Arial" w:hAnsi="Arial"/>
          <w:color w:val="000000"/>
        </w:rPr>
        <w:t>Obsługa i łatwy dostęp do maszyny to kwestia podstawowa w przypadku bron wirnikowych. Głęboka uprawa powinna dawać możliwość zaoszczędzenia paliwa. W bronach z typoszeregu LION 103 C można szybko i łatwo, z boku maszyny ustawić optymalną głębokość roboczą zapewniającą dobre przygotowanie gleby do siewu. Wystarczy wyciągnąć zatyczkę, przesunąć bolec i ustawić żądaną głębokość roboczą. Ustawienie głębokości może się odbywać w krokach co ok. 1 cm.</w:t>
      </w:r>
    </w:p>
    <w:p w14:paraId="23B01763" w14:textId="77777777" w:rsidR="00C240D0" w:rsidRPr="00C40087" w:rsidRDefault="00C240D0" w:rsidP="00004085">
      <w:pPr>
        <w:spacing w:line="360" w:lineRule="auto"/>
        <w:jc w:val="both"/>
        <w:rPr>
          <w:rFonts w:ascii="Arial" w:hAnsi="Arial" w:cs="Arial"/>
          <w:color w:val="000000"/>
          <w:lang w:eastAsia="de-DE"/>
        </w:rPr>
      </w:pPr>
    </w:p>
    <w:p w14:paraId="79B2AE1D" w14:textId="7A287A2F" w:rsidR="00DE52CE" w:rsidRPr="004B32A1" w:rsidRDefault="00DE52CE" w:rsidP="00004085">
      <w:pPr>
        <w:spacing w:line="360" w:lineRule="auto"/>
        <w:jc w:val="both"/>
        <w:rPr>
          <w:rFonts w:ascii="Arial" w:hAnsi="Arial" w:cs="Arial"/>
          <w:b/>
        </w:rPr>
      </w:pPr>
      <w:r>
        <w:rPr>
          <w:rFonts w:ascii="Arial" w:hAnsi="Arial"/>
          <w:b/>
        </w:rPr>
        <w:t xml:space="preserve">Komfortowa regulacja szyny uderzeniowej </w:t>
      </w:r>
    </w:p>
    <w:p w14:paraId="56CE80CD" w14:textId="66229A1F" w:rsidR="00DE52CE" w:rsidRPr="00782722" w:rsidRDefault="00842922" w:rsidP="00004085">
      <w:pPr>
        <w:spacing w:line="360" w:lineRule="auto"/>
        <w:jc w:val="both"/>
        <w:rPr>
          <w:rFonts w:ascii="Arial" w:hAnsi="Arial" w:cs="Arial"/>
          <w:color w:val="000000"/>
        </w:rPr>
      </w:pPr>
      <w:r>
        <w:rPr>
          <w:rFonts w:ascii="Arial" w:hAnsi="Arial"/>
          <w:color w:val="000000"/>
        </w:rPr>
        <w:t>Dużą zaletą szyny uderzeniowej jest to, że jej prowadzenie na głębokości odbywa się automatycznie przez wał. Dzieje się to niezależnie od pozycji przy ustawianiu głębokości roboczej. Szyna uderzeniowa jest stale prowadzona we wcześniej zdefiniowanej odległości od gleby i nie zmienia swojego położenia względem zębów, ani ustawionej wysokości od gleby. To opatentowane rozwiązanie skutkuje zawsze najlepiej przygotow</w:t>
      </w:r>
      <w:r w:rsidR="00C40087">
        <w:rPr>
          <w:rFonts w:ascii="Arial" w:hAnsi="Arial"/>
          <w:color w:val="000000"/>
        </w:rPr>
        <w:t>an</w:t>
      </w:r>
      <w:r>
        <w:rPr>
          <w:rFonts w:ascii="Arial" w:hAnsi="Arial"/>
          <w:color w:val="000000"/>
        </w:rPr>
        <w:t>ą glebą do siewu i równomierną strukturą gruzełkowatą, również przy zmieniających się warunkach glebowych.</w:t>
      </w:r>
    </w:p>
    <w:p w14:paraId="4B301276" w14:textId="122E9D8A" w:rsidR="00DE52CE" w:rsidRPr="00C40087" w:rsidRDefault="00DE52CE" w:rsidP="00004085">
      <w:pPr>
        <w:spacing w:line="360" w:lineRule="auto"/>
        <w:jc w:val="both"/>
        <w:rPr>
          <w:rFonts w:ascii="Arial" w:hAnsi="Arial" w:cs="Arial"/>
          <w:lang w:eastAsia="de-DE"/>
        </w:rPr>
      </w:pPr>
    </w:p>
    <w:p w14:paraId="44BEADFE" w14:textId="77777777" w:rsidR="0096538D" w:rsidRDefault="0096538D" w:rsidP="00004085">
      <w:pPr>
        <w:spacing w:line="360" w:lineRule="auto"/>
        <w:jc w:val="both"/>
        <w:rPr>
          <w:rFonts w:ascii="Arial" w:hAnsi="Arial"/>
          <w:b/>
          <w:color w:val="000000"/>
        </w:rPr>
      </w:pPr>
    </w:p>
    <w:p w14:paraId="3FADE304" w14:textId="77777777" w:rsidR="00004085" w:rsidRDefault="00DE52CE" w:rsidP="00004085">
      <w:pPr>
        <w:spacing w:line="360" w:lineRule="auto"/>
        <w:jc w:val="both"/>
        <w:rPr>
          <w:rFonts w:ascii="Arial" w:hAnsi="Arial" w:cs="Arial"/>
          <w:b/>
          <w:color w:val="000000"/>
        </w:rPr>
      </w:pPr>
      <w:r>
        <w:rPr>
          <w:rFonts w:ascii="Arial" w:hAnsi="Arial"/>
          <w:b/>
          <w:color w:val="000000"/>
        </w:rPr>
        <w:t>Oferta wałów na każdy typ gleby</w:t>
      </w:r>
    </w:p>
    <w:p w14:paraId="14094F98" w14:textId="62D1595A" w:rsidR="00964BE8" w:rsidRDefault="00784762" w:rsidP="00004085">
      <w:pPr>
        <w:spacing w:line="360" w:lineRule="auto"/>
        <w:jc w:val="both"/>
        <w:rPr>
          <w:rFonts w:ascii="Arial" w:hAnsi="Arial" w:cs="Arial"/>
          <w:color w:val="000000"/>
        </w:rPr>
      </w:pPr>
      <w:r>
        <w:rPr>
          <w:rFonts w:ascii="Arial" w:hAnsi="Arial"/>
          <w:color w:val="000000"/>
        </w:rPr>
        <w:t>Ostatni</w:t>
      </w:r>
      <w:r w:rsidR="00C40087">
        <w:rPr>
          <w:rFonts w:ascii="Arial" w:hAnsi="Arial"/>
        </w:rPr>
        <w:t xml:space="preserve"> e</w:t>
      </w:r>
      <w:r>
        <w:rPr>
          <w:rFonts w:ascii="Arial" w:hAnsi="Arial"/>
        </w:rPr>
        <w:t>tap procesu przygotowania</w:t>
      </w:r>
      <w:r w:rsidR="00C40087">
        <w:rPr>
          <w:rFonts w:ascii="Arial" w:hAnsi="Arial"/>
        </w:rPr>
        <w:t xml:space="preserve"> </w:t>
      </w:r>
      <w:r>
        <w:rPr>
          <w:rFonts w:ascii="Arial" w:hAnsi="Arial"/>
          <w:color w:val="000000"/>
        </w:rPr>
        <w:t>gleby do siewu zamykają wały. Do wyboru są wał ugniatające zębaty</w:t>
      </w:r>
      <w:r w:rsidR="0096538D">
        <w:rPr>
          <w:rFonts w:ascii="Arial" w:hAnsi="Arial"/>
          <w:color w:val="000000"/>
        </w:rPr>
        <w:t xml:space="preserve"> i</w:t>
      </w:r>
      <w:r>
        <w:rPr>
          <w:rFonts w:ascii="Arial" w:hAnsi="Arial"/>
          <w:color w:val="000000"/>
        </w:rPr>
        <w:t xml:space="preserve"> pierścieniowo-zębaty. </w:t>
      </w:r>
      <w:r w:rsidR="0096538D">
        <w:rPr>
          <w:rFonts w:ascii="Arial" w:hAnsi="Arial"/>
          <w:color w:val="000000"/>
        </w:rPr>
        <w:t>Obydwa w</w:t>
      </w:r>
      <w:r>
        <w:rPr>
          <w:rFonts w:ascii="Arial" w:hAnsi="Arial"/>
          <w:color w:val="000000"/>
        </w:rPr>
        <w:t xml:space="preserve">ały są oferowane w dwóch średnicach.  </w:t>
      </w:r>
    </w:p>
    <w:p w14:paraId="45618780" w14:textId="77777777" w:rsidR="00964BE8" w:rsidRPr="00C40087" w:rsidRDefault="00964BE8" w:rsidP="00004085">
      <w:pPr>
        <w:spacing w:line="360" w:lineRule="auto"/>
        <w:jc w:val="both"/>
        <w:rPr>
          <w:rFonts w:ascii="Arial" w:hAnsi="Arial" w:cs="Arial"/>
          <w:color w:val="000000"/>
          <w:lang w:eastAsia="de-DE"/>
        </w:rPr>
      </w:pPr>
    </w:p>
    <w:p w14:paraId="0F9E3CE5" w14:textId="75E8AB50" w:rsidR="00004085" w:rsidRDefault="00E67DAD" w:rsidP="00004085">
      <w:pPr>
        <w:spacing w:line="360" w:lineRule="auto"/>
        <w:jc w:val="both"/>
        <w:rPr>
          <w:rFonts w:ascii="Arial" w:hAnsi="Arial" w:cs="Arial"/>
          <w:color w:val="000000"/>
        </w:rPr>
      </w:pPr>
      <w:r>
        <w:rPr>
          <w:rFonts w:ascii="Arial" w:hAnsi="Arial"/>
          <w:color w:val="000000"/>
        </w:rPr>
        <w:t>W kombinacji z siewnikiem Pöttinger AEROSEM FDD powstaje niezawodny i wydajny zestaw do perfekcyjnego wykonania siewu. Proste zawieszenie czyni zestaw idealnym rozwiązaniem dla wymagającego rolnika na teraz, jak również w przyszłości.</w:t>
      </w:r>
    </w:p>
    <w:p w14:paraId="7254D177" w14:textId="4492C62D" w:rsidR="00DE52CE" w:rsidRPr="00C40087" w:rsidRDefault="00DE52CE" w:rsidP="00004085">
      <w:pPr>
        <w:spacing w:line="360" w:lineRule="auto"/>
        <w:jc w:val="both"/>
        <w:rPr>
          <w:rFonts w:ascii="Helv" w:hAnsi="Helv" w:cs="Helv"/>
          <w:color w:val="000000"/>
          <w:sz w:val="20"/>
          <w:szCs w:val="20"/>
          <w:lang w:eastAsia="de-DE"/>
        </w:rPr>
      </w:pPr>
    </w:p>
    <w:p w14:paraId="73884C3D" w14:textId="77777777" w:rsidR="00D32A7E" w:rsidRPr="00D32A7E" w:rsidRDefault="00D32A7E" w:rsidP="00D32A7E">
      <w:pPr>
        <w:spacing w:after="120"/>
        <w:rPr>
          <w:rFonts w:ascii="Arial" w:hAnsi="Arial" w:cs="Arial"/>
          <w:b/>
        </w:rPr>
      </w:pPr>
      <w:r>
        <w:rPr>
          <w:rFonts w:ascii="Arial" w:hAnsi="Arial"/>
          <w:b/>
        </w:rPr>
        <w:t xml:space="preserve">Podgląd zdjęć:  </w:t>
      </w:r>
    </w:p>
    <w:p w14:paraId="1CEF1AD3" w14:textId="073A0235" w:rsidR="00D32A7E" w:rsidRDefault="00D32A7E" w:rsidP="00D32A7E">
      <w:pPr>
        <w:spacing w:after="120"/>
        <w:rPr>
          <w:sz w:val="16"/>
          <w:szCs w:val="16"/>
        </w:rPr>
      </w:pPr>
    </w:p>
    <w:tbl>
      <w:tblPr>
        <w:tblStyle w:val="Tabellenraster"/>
        <w:tblW w:w="0" w:type="auto"/>
        <w:tblLook w:val="04A0" w:firstRow="1" w:lastRow="0" w:firstColumn="1" w:lastColumn="0" w:noHBand="0" w:noVBand="1"/>
      </w:tblPr>
      <w:tblGrid>
        <w:gridCol w:w="4151"/>
        <w:gridCol w:w="4152"/>
      </w:tblGrid>
      <w:tr w:rsidR="00D00430" w:rsidRPr="00D32A7E" w14:paraId="785BAC0B" w14:textId="77777777" w:rsidTr="00D00430">
        <w:tc>
          <w:tcPr>
            <w:tcW w:w="4151" w:type="dxa"/>
          </w:tcPr>
          <w:p w14:paraId="1F7EAFA2" w14:textId="77777777" w:rsidR="00D00430" w:rsidRPr="00D32A7E" w:rsidRDefault="00D00430" w:rsidP="00E8223C">
            <w:pPr>
              <w:spacing w:after="120"/>
              <w:jc w:val="center"/>
              <w:rPr>
                <w:sz w:val="16"/>
                <w:szCs w:val="16"/>
                <w:lang w:val="de-DE" w:eastAsia="de-DE"/>
              </w:rPr>
            </w:pPr>
          </w:p>
          <w:p w14:paraId="5A249857" w14:textId="77777777" w:rsidR="00D00430" w:rsidRPr="00D32A7E" w:rsidRDefault="00D00430" w:rsidP="00E8223C">
            <w:pPr>
              <w:spacing w:after="120"/>
              <w:jc w:val="center"/>
              <w:rPr>
                <w:sz w:val="16"/>
                <w:szCs w:val="16"/>
                <w:lang w:val="de-DE" w:eastAsia="de-DE"/>
              </w:rPr>
            </w:pPr>
            <w:r>
              <w:rPr>
                <w:noProof/>
              </w:rPr>
              <w:drawing>
                <wp:inline distT="0" distB="0" distL="0" distR="0" wp14:anchorId="56EF88D2" wp14:editId="3E60D075">
                  <wp:extent cx="1148080" cy="765810"/>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080" cy="765810"/>
                          </a:xfrm>
                          <a:prstGeom prst="rect">
                            <a:avLst/>
                          </a:prstGeom>
                          <a:noFill/>
                          <a:ln>
                            <a:noFill/>
                          </a:ln>
                        </pic:spPr>
                      </pic:pic>
                    </a:graphicData>
                  </a:graphic>
                </wp:inline>
              </w:drawing>
            </w:r>
          </w:p>
        </w:tc>
        <w:tc>
          <w:tcPr>
            <w:tcW w:w="4152" w:type="dxa"/>
          </w:tcPr>
          <w:p w14:paraId="48F52E2D" w14:textId="77777777" w:rsidR="00D00430" w:rsidRDefault="00D00430" w:rsidP="00E8223C">
            <w:pPr>
              <w:spacing w:after="120"/>
              <w:jc w:val="center"/>
              <w:rPr>
                <w:noProof/>
                <w:sz w:val="16"/>
                <w:szCs w:val="16"/>
                <w:lang w:val="de-DE" w:eastAsia="de-DE"/>
              </w:rPr>
            </w:pPr>
          </w:p>
          <w:p w14:paraId="00F955C2" w14:textId="77777777" w:rsidR="00D00430" w:rsidRPr="00D32A7E" w:rsidRDefault="00D00430" w:rsidP="00E8223C">
            <w:pPr>
              <w:spacing w:after="120"/>
              <w:jc w:val="center"/>
              <w:rPr>
                <w:noProof/>
                <w:sz w:val="16"/>
                <w:szCs w:val="16"/>
                <w:lang w:val="de-DE" w:eastAsia="de-DE"/>
              </w:rPr>
            </w:pPr>
            <w:r>
              <w:rPr>
                <w:noProof/>
              </w:rPr>
              <w:drawing>
                <wp:inline distT="0" distB="0" distL="0" distR="0" wp14:anchorId="2329EF20" wp14:editId="1AC75134">
                  <wp:extent cx="1148080" cy="76581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765810"/>
                          </a:xfrm>
                          <a:prstGeom prst="rect">
                            <a:avLst/>
                          </a:prstGeom>
                          <a:noFill/>
                          <a:ln>
                            <a:noFill/>
                          </a:ln>
                        </pic:spPr>
                      </pic:pic>
                    </a:graphicData>
                  </a:graphic>
                </wp:inline>
              </w:drawing>
            </w:r>
          </w:p>
        </w:tc>
      </w:tr>
      <w:tr w:rsidR="00D00430" w:rsidRPr="00D00430" w14:paraId="14EB9007" w14:textId="77777777" w:rsidTr="00D00430">
        <w:tc>
          <w:tcPr>
            <w:tcW w:w="4151" w:type="dxa"/>
          </w:tcPr>
          <w:p w14:paraId="6FE42784" w14:textId="6F07F9A1" w:rsidR="00D00430" w:rsidRPr="00D00430" w:rsidRDefault="00D00430" w:rsidP="00D00430">
            <w:pPr>
              <w:spacing w:after="120"/>
              <w:jc w:val="center"/>
              <w:rPr>
                <w:rFonts w:ascii="Arial" w:hAnsi="Arial" w:cs="Arial"/>
                <w:b/>
                <w:bCs/>
                <w:sz w:val="22"/>
                <w:szCs w:val="22"/>
                <w:lang w:eastAsia="de-DE"/>
              </w:rPr>
            </w:pPr>
            <w:r w:rsidRPr="00D00430">
              <w:rPr>
                <w:rFonts w:ascii="Arial" w:hAnsi="Arial"/>
                <w:sz w:val="22"/>
                <w:szCs w:val="22"/>
              </w:rPr>
              <w:t xml:space="preserve">LION </w:t>
            </w:r>
            <w:r>
              <w:rPr>
                <w:rFonts w:ascii="Arial" w:hAnsi="Arial"/>
                <w:sz w:val="22"/>
                <w:szCs w:val="22"/>
              </w:rPr>
              <w:t>5</w:t>
            </w:r>
            <w:r w:rsidRPr="00D00430">
              <w:rPr>
                <w:rFonts w:ascii="Arial" w:hAnsi="Arial"/>
                <w:sz w:val="22"/>
                <w:szCs w:val="22"/>
              </w:rPr>
              <w:t>03 C to rozwiązanie na każde warunki pracy</w:t>
            </w:r>
          </w:p>
        </w:tc>
        <w:tc>
          <w:tcPr>
            <w:tcW w:w="4152" w:type="dxa"/>
          </w:tcPr>
          <w:p w14:paraId="5A4C930F" w14:textId="77777777" w:rsidR="00D00430" w:rsidRPr="00D00430" w:rsidRDefault="00D00430" w:rsidP="00D00430">
            <w:pPr>
              <w:jc w:val="center"/>
              <w:rPr>
                <w:rFonts w:ascii="Arial" w:hAnsi="Arial" w:cs="Arial"/>
                <w:sz w:val="22"/>
                <w:szCs w:val="22"/>
              </w:rPr>
            </w:pPr>
            <w:r w:rsidRPr="00D00430">
              <w:rPr>
                <w:rFonts w:ascii="Arial" w:hAnsi="Arial"/>
                <w:sz w:val="22"/>
                <w:szCs w:val="22"/>
              </w:rPr>
              <w:t xml:space="preserve">Najlepsze efekty pracy z  </w:t>
            </w:r>
          </w:p>
          <w:p w14:paraId="37821850" w14:textId="50E8DF91" w:rsidR="00D00430" w:rsidRPr="00D00430" w:rsidRDefault="00D00430" w:rsidP="00D00430">
            <w:pPr>
              <w:jc w:val="center"/>
              <w:rPr>
                <w:rFonts w:ascii="Arial" w:hAnsi="Arial" w:cs="Arial"/>
                <w:b/>
                <w:bCs/>
                <w:sz w:val="22"/>
                <w:szCs w:val="22"/>
                <w:lang w:eastAsia="de-DE"/>
              </w:rPr>
            </w:pPr>
            <w:r w:rsidRPr="00D00430">
              <w:rPr>
                <w:rFonts w:ascii="Arial" w:hAnsi="Arial"/>
                <w:sz w:val="22"/>
                <w:szCs w:val="22"/>
              </w:rPr>
              <w:t xml:space="preserve">LION </w:t>
            </w:r>
            <w:r>
              <w:rPr>
                <w:rFonts w:ascii="Arial" w:hAnsi="Arial"/>
                <w:sz w:val="22"/>
                <w:szCs w:val="22"/>
              </w:rPr>
              <w:t>5</w:t>
            </w:r>
            <w:r w:rsidRPr="00D00430">
              <w:rPr>
                <w:rFonts w:ascii="Arial" w:hAnsi="Arial"/>
                <w:sz w:val="22"/>
                <w:szCs w:val="22"/>
              </w:rPr>
              <w:t xml:space="preserve">03 </w:t>
            </w:r>
            <w:r w:rsidRPr="00D00430">
              <w:rPr>
                <w:rFonts w:ascii="Arial" w:hAnsi="Arial" w:cs="Arial"/>
                <w:b/>
                <w:bCs/>
                <w:sz w:val="22"/>
                <w:szCs w:val="22"/>
                <w:lang w:eastAsia="de-DE"/>
              </w:rPr>
              <w:t>C</w:t>
            </w:r>
          </w:p>
        </w:tc>
      </w:tr>
      <w:tr w:rsidR="00D00430" w:rsidRPr="000654DC" w14:paraId="14493128" w14:textId="77777777" w:rsidTr="00D00430">
        <w:tc>
          <w:tcPr>
            <w:tcW w:w="4151" w:type="dxa"/>
          </w:tcPr>
          <w:p w14:paraId="2C0123A7" w14:textId="77777777" w:rsidR="00D00430" w:rsidRPr="00D00430" w:rsidRDefault="0096538D" w:rsidP="00E8223C">
            <w:pPr>
              <w:spacing w:after="120"/>
              <w:jc w:val="center"/>
              <w:rPr>
                <w:rFonts w:ascii="Arial" w:hAnsi="Arial" w:cs="Arial"/>
                <w:color w:val="FF0000"/>
                <w:sz w:val="20"/>
                <w:szCs w:val="20"/>
                <w:lang w:eastAsia="de-DE"/>
              </w:rPr>
            </w:pPr>
            <w:hyperlink r:id="rId9" w:history="1">
              <w:r w:rsidR="00D00430" w:rsidRPr="00D00430">
                <w:rPr>
                  <w:rFonts w:ascii="Arial" w:hAnsi="Arial" w:cs="Arial"/>
                  <w:color w:val="0000FF"/>
                  <w:sz w:val="20"/>
                  <w:szCs w:val="20"/>
                  <w:u w:val="single"/>
                </w:rPr>
                <w:t>https://www.poettinger.at/de_at/Newsroom/Pressebild/4600</w:t>
              </w:r>
            </w:hyperlink>
          </w:p>
        </w:tc>
        <w:tc>
          <w:tcPr>
            <w:tcW w:w="4152" w:type="dxa"/>
          </w:tcPr>
          <w:p w14:paraId="42C17F9B" w14:textId="77777777" w:rsidR="00D00430" w:rsidRPr="0096538D" w:rsidRDefault="0096538D" w:rsidP="00E8223C">
            <w:pPr>
              <w:spacing w:after="120"/>
              <w:jc w:val="center"/>
              <w:rPr>
                <w:rFonts w:ascii="Arial" w:hAnsi="Arial" w:cs="Arial"/>
                <w:color w:val="FF0000"/>
                <w:sz w:val="20"/>
                <w:szCs w:val="20"/>
                <w:lang w:eastAsia="de-DE"/>
              </w:rPr>
            </w:pPr>
            <w:hyperlink r:id="rId10" w:history="1">
              <w:r w:rsidR="00D00430" w:rsidRPr="0096538D">
                <w:rPr>
                  <w:rFonts w:ascii="Arial" w:hAnsi="Arial" w:cs="Arial"/>
                  <w:color w:val="0000FF"/>
                  <w:sz w:val="20"/>
                  <w:szCs w:val="20"/>
                  <w:u w:val="single"/>
                </w:rPr>
                <w:t>https://www.poettinger.at/de_at/Newsroom/Pressebild/4599</w:t>
              </w:r>
            </w:hyperlink>
          </w:p>
        </w:tc>
      </w:tr>
    </w:tbl>
    <w:p w14:paraId="57734DDF" w14:textId="7D7F3AB3" w:rsidR="00D00430" w:rsidRPr="0096538D" w:rsidRDefault="00D00430" w:rsidP="00D32A7E">
      <w:pPr>
        <w:spacing w:after="120"/>
        <w:rPr>
          <w:sz w:val="16"/>
          <w:szCs w:val="16"/>
        </w:rPr>
      </w:pPr>
    </w:p>
    <w:p w14:paraId="14FBEB4D" w14:textId="77777777" w:rsidR="00D00430" w:rsidRPr="0096538D" w:rsidRDefault="00D00430" w:rsidP="00D32A7E">
      <w:pPr>
        <w:spacing w:after="120"/>
        <w:rPr>
          <w:sz w:val="16"/>
          <w:szCs w:val="16"/>
        </w:rPr>
      </w:pPr>
    </w:p>
    <w:p w14:paraId="1BE4CFAB" w14:textId="1653A4F5" w:rsidR="00D32A7E" w:rsidRPr="00D32A7E" w:rsidRDefault="00D32A7E" w:rsidP="00D32A7E">
      <w:pPr>
        <w:widowControl w:val="0"/>
        <w:autoSpaceDE w:val="0"/>
        <w:autoSpaceDN w:val="0"/>
        <w:adjustRightInd w:val="0"/>
        <w:spacing w:line="360" w:lineRule="auto"/>
        <w:jc w:val="both"/>
        <w:rPr>
          <w:rFonts w:ascii="Arial" w:hAnsi="Arial" w:cs="Arial"/>
          <w:snapToGrid w:val="0"/>
          <w:color w:val="000000"/>
          <w:sz w:val="22"/>
          <w:szCs w:val="22"/>
        </w:rPr>
      </w:pPr>
      <w:r>
        <w:rPr>
          <w:rFonts w:ascii="Arial" w:hAnsi="Arial"/>
          <w:snapToGrid w:val="0"/>
          <w:color w:val="000000"/>
          <w:sz w:val="22"/>
          <w:szCs w:val="22"/>
        </w:rPr>
        <w:t>Pozostałe zdjęcia w jakości do druku:</w:t>
      </w:r>
      <w:r w:rsidR="00C40087">
        <w:rPr>
          <w:rFonts w:ascii="Arial" w:hAnsi="Arial"/>
          <w:snapToGrid w:val="0"/>
          <w:color w:val="000000"/>
          <w:sz w:val="22"/>
          <w:szCs w:val="22"/>
        </w:rPr>
        <w:t xml:space="preserve"> </w:t>
      </w:r>
      <w:hyperlink r:id="rId11" w:history="1">
        <w:r w:rsidR="00C40087" w:rsidRPr="009713CD">
          <w:rPr>
            <w:rStyle w:val="Hyperlink"/>
            <w:rFonts w:ascii="Arial" w:hAnsi="Arial"/>
            <w:snapToGrid w:val="0"/>
            <w:sz w:val="22"/>
            <w:szCs w:val="22"/>
          </w:rPr>
          <w:t>http://www.poettinger.at/presse</w:t>
        </w:r>
      </w:hyperlink>
    </w:p>
    <w:p w14:paraId="33FFA3BF" w14:textId="77777777" w:rsidR="00D32A7E" w:rsidRPr="00C40087" w:rsidRDefault="00D32A7E" w:rsidP="00D32A7E">
      <w:pPr>
        <w:spacing w:line="360" w:lineRule="auto"/>
        <w:rPr>
          <w:rFonts w:ascii="Arial" w:eastAsia="Calibri" w:hAnsi="Arial" w:cs="Arial"/>
        </w:rPr>
      </w:pPr>
    </w:p>
    <w:p w14:paraId="12854313" w14:textId="77777777" w:rsidR="004252B8" w:rsidRPr="00C40087" w:rsidRDefault="004252B8" w:rsidP="004252B8">
      <w:pPr>
        <w:rPr>
          <w:rFonts w:ascii="Arial" w:hAnsi="Arial" w:cs="Arial"/>
          <w:b/>
          <w:sz w:val="18"/>
          <w:szCs w:val="18"/>
        </w:rPr>
      </w:pPr>
    </w:p>
    <w:sectPr w:rsidR="004252B8" w:rsidRPr="00C40087" w:rsidSect="00016DC5">
      <w:headerReference w:type="default" r:id="rId12"/>
      <w:footerReference w:type="default" r:id="rId13"/>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6DB15" w14:textId="77777777" w:rsidR="00C576A7" w:rsidRDefault="00641A00">
      <w:r>
        <w:separator/>
      </w:r>
    </w:p>
  </w:endnote>
  <w:endnote w:type="continuationSeparator" w:id="0">
    <w:p w14:paraId="4F518680" w14:textId="77777777" w:rsidR="00C576A7" w:rsidRDefault="0064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8E21F" w14:textId="77777777" w:rsidR="00641A00" w:rsidRPr="00641A00" w:rsidRDefault="00641A00" w:rsidP="00641A00">
    <w:pPr>
      <w:rPr>
        <w:rFonts w:ascii="Arial" w:hAnsi="Arial" w:cs="Arial"/>
        <w:b/>
        <w:sz w:val="18"/>
        <w:szCs w:val="18"/>
        <w:lang w:val="de-DE"/>
      </w:rPr>
    </w:pPr>
  </w:p>
  <w:p w14:paraId="4FB776B5" w14:textId="4E230953" w:rsidR="00641A00" w:rsidRPr="00641A00" w:rsidRDefault="00641A00" w:rsidP="00641A00">
    <w:pPr>
      <w:rPr>
        <w:rFonts w:ascii="Arial" w:hAnsi="Arial" w:cs="Arial"/>
        <w:b/>
        <w:sz w:val="18"/>
        <w:szCs w:val="18"/>
      </w:rPr>
    </w:pPr>
    <w:r>
      <w:rPr>
        <w:rFonts w:ascii="Arial" w:hAnsi="Arial"/>
        <w:b/>
        <w:sz w:val="18"/>
        <w:szCs w:val="18"/>
      </w:rPr>
      <w:t xml:space="preserve">PÖTTINGER </w:t>
    </w:r>
    <w:r w:rsidR="0096538D">
      <w:rPr>
        <w:rFonts w:ascii="Arial" w:hAnsi="Arial"/>
        <w:b/>
        <w:sz w:val="18"/>
        <w:szCs w:val="18"/>
      </w:rPr>
      <w:t>Polska Sp. z o.o.</w:t>
    </w:r>
  </w:p>
  <w:p w14:paraId="4C51E77A" w14:textId="77777777" w:rsidR="00641A00" w:rsidRPr="00641A00" w:rsidRDefault="00641A00" w:rsidP="00641A00">
    <w:pPr>
      <w:rPr>
        <w:rFonts w:ascii="Arial" w:hAnsi="Arial" w:cs="Arial"/>
        <w:sz w:val="18"/>
        <w:szCs w:val="18"/>
      </w:rPr>
    </w:pPr>
    <w:r>
      <w:rPr>
        <w:rFonts w:ascii="Arial" w:hAnsi="Arial"/>
        <w:sz w:val="18"/>
        <w:szCs w:val="18"/>
      </w:rPr>
      <w:t>Edyta Tyrakowska, ul. Skawińska 22, 61-333 Poznań</w:t>
    </w:r>
  </w:p>
  <w:p w14:paraId="7D2A1878" w14:textId="6127F2A8" w:rsidR="00641A00" w:rsidRDefault="00641A00" w:rsidP="00641A00">
    <w:pPr>
      <w:pStyle w:val="Fuzeile"/>
    </w:pPr>
    <w:r>
      <w:rPr>
        <w:rFonts w:ascii="Arial" w:hAnsi="Arial"/>
        <w:sz w:val="18"/>
        <w:szCs w:val="18"/>
      </w:rPr>
      <w:t xml:space="preserve">Tel.: +48 603 770 957 </w:t>
    </w:r>
    <w:hyperlink r:id="rId1" w:history="1">
      <w:r>
        <w:rPr>
          <w:rFonts w:ascii="Arial" w:hAnsi="Arial"/>
          <w:sz w:val="18"/>
          <w:szCs w:val="18"/>
        </w:rPr>
        <w:t>edyta.tyrakowskal@poettinger.at</w:t>
      </w:r>
    </w:hyperlink>
    <w:r>
      <w:rPr>
        <w:rFonts w:ascii="Arial" w:hAnsi="Arial"/>
        <w:sz w:val="18"/>
        <w:szCs w:val="18"/>
      </w:rPr>
      <w:t xml:space="preserve">, </w:t>
    </w:r>
    <w:hyperlink r:id="rId2" w:history="1">
      <w:r>
        <w:rPr>
          <w:rFonts w:ascii="Arial" w:hAnsi="Arial"/>
          <w:sz w:val="18"/>
          <w:szCs w:val="18"/>
        </w:rPr>
        <w:t>www.poettinger.at/pl</w:t>
      </w:r>
    </w:hyperlink>
    <w:r>
      <w:rPr>
        <w:rFonts w:ascii="Arial" w:hAnsi="Arial"/>
        <w:sz w:val="18"/>
        <w:szCs w:val="18"/>
      </w:rPr>
      <w:tab/>
    </w:r>
    <w:r>
      <w:rPr>
        <w:rFonts w:ascii="Arial" w:hAnsi="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4F931" w14:textId="77777777" w:rsidR="00C576A7" w:rsidRDefault="00641A00">
      <w:r>
        <w:separator/>
      </w:r>
    </w:p>
  </w:footnote>
  <w:footnote w:type="continuationSeparator" w:id="0">
    <w:p w14:paraId="328FA918" w14:textId="77777777" w:rsidR="00C576A7" w:rsidRDefault="00641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CEEE0" w14:textId="77777777" w:rsidR="00641A00" w:rsidRDefault="00641A00" w:rsidP="00641A00">
    <w:pPr>
      <w:pStyle w:val="Kopfzeile"/>
      <w:rPr>
        <w:rFonts w:ascii="Arial" w:hAnsi="Arial" w:cs="Arial"/>
        <w:b/>
        <w:bCs/>
        <w:iCs/>
        <w:noProof/>
        <w:lang w:val="de-DE" w:eastAsia="de-DE"/>
      </w:rPr>
    </w:pPr>
  </w:p>
  <w:p w14:paraId="7364DE70" w14:textId="4E80C641" w:rsidR="004252B8" w:rsidRDefault="00641A00" w:rsidP="00641A00">
    <w:pPr>
      <w:pStyle w:val="Kopfzeile"/>
      <w:rPr>
        <w:rFonts w:ascii="Arial" w:hAnsi="Arial" w:cs="Arial"/>
      </w:rPr>
    </w:pPr>
    <w:r>
      <w:rPr>
        <w:rFonts w:ascii="Arial" w:hAnsi="Arial"/>
        <w:b/>
        <w:bCs/>
        <w:iCs/>
      </w:rPr>
      <w:t xml:space="preserve">Informacja prasowa                </w:t>
    </w:r>
    <w:r w:rsidR="00C40087">
      <w:rPr>
        <w:rFonts w:ascii="Arial" w:hAnsi="Arial"/>
        <w:b/>
        <w:bCs/>
        <w:iCs/>
      </w:rPr>
      <w:t xml:space="preserve">                </w:t>
    </w:r>
    <w:r>
      <w:rPr>
        <w:rFonts w:ascii="Arial" w:hAnsi="Arial"/>
        <w:b/>
        <w:bCs/>
        <w:iCs/>
      </w:rPr>
      <w:t xml:space="preserve">       </w:t>
    </w:r>
    <w:r>
      <w:rPr>
        <w:noProof/>
      </w:rPr>
      <w:drawing>
        <wp:inline distT="0" distB="0" distL="0" distR="0" wp14:anchorId="5918B3E3" wp14:editId="23B9FEC8">
          <wp:extent cx="2190750" cy="228600"/>
          <wp:effectExtent l="0" t="0" r="0"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28600"/>
                  </a:xfrm>
                  <a:prstGeom prst="rect">
                    <a:avLst/>
                  </a:prstGeom>
                  <a:noFill/>
                  <a:ln>
                    <a:noFill/>
                  </a:ln>
                </pic:spPr>
              </pic:pic>
            </a:graphicData>
          </a:graphic>
        </wp:inline>
      </w:drawing>
    </w:r>
  </w:p>
  <w:p w14:paraId="7FB6716F" w14:textId="2C54FB12" w:rsidR="004252B8" w:rsidRDefault="004252B8">
    <w:pPr>
      <w:pStyle w:val="Kopfzeile"/>
    </w:pPr>
  </w:p>
  <w:p w14:paraId="53309E4E" w14:textId="77777777" w:rsidR="00842922" w:rsidRDefault="0084292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3E0761"/>
    <w:multiLevelType w:val="hybridMultilevel"/>
    <w:tmpl w:val="3A647ABA"/>
    <w:lvl w:ilvl="0" w:tplc="022A3D9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4085"/>
    <w:rsid w:val="00005846"/>
    <w:rsid w:val="000078AD"/>
    <w:rsid w:val="00016DC5"/>
    <w:rsid w:val="00021041"/>
    <w:rsid w:val="00096461"/>
    <w:rsid w:val="000A0F6D"/>
    <w:rsid w:val="000B5009"/>
    <w:rsid w:val="001857B9"/>
    <w:rsid w:val="00187AA1"/>
    <w:rsid w:val="001975EA"/>
    <w:rsid w:val="001A226F"/>
    <w:rsid w:val="001B3480"/>
    <w:rsid w:val="001C12F3"/>
    <w:rsid w:val="001C7206"/>
    <w:rsid w:val="00202DFB"/>
    <w:rsid w:val="002206B9"/>
    <w:rsid w:val="00247B0D"/>
    <w:rsid w:val="00283EB3"/>
    <w:rsid w:val="002A0D10"/>
    <w:rsid w:val="002E3DEE"/>
    <w:rsid w:val="00366C56"/>
    <w:rsid w:val="00371E2E"/>
    <w:rsid w:val="003953C1"/>
    <w:rsid w:val="003C7719"/>
    <w:rsid w:val="003D5FF9"/>
    <w:rsid w:val="004252B8"/>
    <w:rsid w:val="00463FBD"/>
    <w:rsid w:val="00472520"/>
    <w:rsid w:val="00472869"/>
    <w:rsid w:val="00497643"/>
    <w:rsid w:val="004B32A1"/>
    <w:rsid w:val="004D2C42"/>
    <w:rsid w:val="004D5DA2"/>
    <w:rsid w:val="00516A7E"/>
    <w:rsid w:val="00561174"/>
    <w:rsid w:val="005B556D"/>
    <w:rsid w:val="005C0BA9"/>
    <w:rsid w:val="005E3DD3"/>
    <w:rsid w:val="005E6656"/>
    <w:rsid w:val="00625AA7"/>
    <w:rsid w:val="00641A00"/>
    <w:rsid w:val="00660695"/>
    <w:rsid w:val="00676EA6"/>
    <w:rsid w:val="006A03CD"/>
    <w:rsid w:val="006C0CFB"/>
    <w:rsid w:val="006C21AE"/>
    <w:rsid w:val="00707052"/>
    <w:rsid w:val="00714691"/>
    <w:rsid w:val="007345D4"/>
    <w:rsid w:val="007401C0"/>
    <w:rsid w:val="007419F7"/>
    <w:rsid w:val="00746691"/>
    <w:rsid w:val="0075326F"/>
    <w:rsid w:val="00782722"/>
    <w:rsid w:val="00784762"/>
    <w:rsid w:val="0079090E"/>
    <w:rsid w:val="00796F62"/>
    <w:rsid w:val="007A02DA"/>
    <w:rsid w:val="007C3E4A"/>
    <w:rsid w:val="008015BA"/>
    <w:rsid w:val="00842922"/>
    <w:rsid w:val="00865610"/>
    <w:rsid w:val="00891BFB"/>
    <w:rsid w:val="00892784"/>
    <w:rsid w:val="008A4E9C"/>
    <w:rsid w:val="008A6142"/>
    <w:rsid w:val="008A683D"/>
    <w:rsid w:val="008D60DC"/>
    <w:rsid w:val="00906512"/>
    <w:rsid w:val="00912E24"/>
    <w:rsid w:val="00925E8D"/>
    <w:rsid w:val="00940057"/>
    <w:rsid w:val="00960692"/>
    <w:rsid w:val="00964BE8"/>
    <w:rsid w:val="0096538D"/>
    <w:rsid w:val="009934AB"/>
    <w:rsid w:val="009A1C73"/>
    <w:rsid w:val="009B0F95"/>
    <w:rsid w:val="00A216BE"/>
    <w:rsid w:val="00AB4A9D"/>
    <w:rsid w:val="00AC024A"/>
    <w:rsid w:val="00AD4560"/>
    <w:rsid w:val="00AF3911"/>
    <w:rsid w:val="00B23E44"/>
    <w:rsid w:val="00B43E9E"/>
    <w:rsid w:val="00BC7F96"/>
    <w:rsid w:val="00C240D0"/>
    <w:rsid w:val="00C34C52"/>
    <w:rsid w:val="00C40087"/>
    <w:rsid w:val="00C576A7"/>
    <w:rsid w:val="00C85680"/>
    <w:rsid w:val="00C93C33"/>
    <w:rsid w:val="00CC756E"/>
    <w:rsid w:val="00CD6A8B"/>
    <w:rsid w:val="00D00430"/>
    <w:rsid w:val="00D16EBD"/>
    <w:rsid w:val="00D2330A"/>
    <w:rsid w:val="00D32A7E"/>
    <w:rsid w:val="00D611B5"/>
    <w:rsid w:val="00D76980"/>
    <w:rsid w:val="00D946B4"/>
    <w:rsid w:val="00D950ED"/>
    <w:rsid w:val="00DC1DA9"/>
    <w:rsid w:val="00DE45B7"/>
    <w:rsid w:val="00DE52CE"/>
    <w:rsid w:val="00E6284A"/>
    <w:rsid w:val="00E673E6"/>
    <w:rsid w:val="00E67DAD"/>
    <w:rsid w:val="00E75C0C"/>
    <w:rsid w:val="00E778A0"/>
    <w:rsid w:val="00EE2905"/>
    <w:rsid w:val="00EF4B8D"/>
    <w:rsid w:val="00EF4E62"/>
    <w:rsid w:val="00F05D72"/>
    <w:rsid w:val="00F20520"/>
    <w:rsid w:val="00F24526"/>
    <w:rsid w:val="00F31E4A"/>
    <w:rsid w:val="00F435FD"/>
    <w:rsid w:val="00F46987"/>
    <w:rsid w:val="00FA0B42"/>
    <w:rsid w:val="00FE39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ACFF1"/>
  <w15:chartTrackingRefBased/>
  <w15:docId w15:val="{5A6D8F74-770F-4E91-B086-FD7F4FF3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
    <w:semiHidden/>
    <w:unhideWhenUsed/>
    <w:qFormat/>
    <w:rsid w:val="00641A00"/>
    <w:pPr>
      <w:keepNext/>
      <w:spacing w:before="240" w:after="60"/>
      <w:outlineLvl w:val="1"/>
    </w:pPr>
    <w:rPr>
      <w:rFonts w:asciiTheme="majorHAnsi" w:eastAsiaTheme="majorEastAsia" w:hAnsiTheme="majorHAnsi" w:cstheme="majorBidi"/>
      <w:b/>
      <w:bCs/>
      <w:i/>
      <w:iCs/>
      <w:sz w:val="28"/>
      <w:szCs w:val="28"/>
    </w:rPr>
  </w:style>
  <w:style w:type="paragraph" w:styleId="berschrift5">
    <w:name w:val="heading 5"/>
    <w:basedOn w:val="Standard"/>
    <w:next w:val="Standard"/>
    <w:qFormat/>
    <w:rsid w:val="004252B8"/>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rsid w:val="009B0F95"/>
    <w:pPr>
      <w:tabs>
        <w:tab w:val="center" w:pos="4536"/>
        <w:tab w:val="right" w:pos="9072"/>
      </w:tabs>
    </w:pPr>
  </w:style>
  <w:style w:type="paragraph" w:styleId="Textkrper3">
    <w:name w:val="Body Text 3"/>
    <w:basedOn w:val="Standard"/>
    <w:rsid w:val="009B0F95"/>
    <w:pPr>
      <w:spacing w:after="120"/>
    </w:pPr>
    <w:rPr>
      <w:sz w:val="16"/>
      <w:szCs w:val="16"/>
    </w:rPr>
  </w:style>
  <w:style w:type="paragraph" w:styleId="Textkrper">
    <w:name w:val="Body Text"/>
    <w:basedOn w:val="Standard"/>
    <w:rsid w:val="009B0F95"/>
    <w:pPr>
      <w:spacing w:after="120"/>
    </w:pPr>
  </w:style>
  <w:style w:type="character" w:styleId="Hyperlink">
    <w:name w:val="Hyperlink"/>
    <w:basedOn w:val="Absatz-Standardschriftart"/>
    <w:rsid w:val="004252B8"/>
    <w:rPr>
      <w:color w:val="0000FF"/>
      <w:u w:val="single"/>
    </w:rPr>
  </w:style>
  <w:style w:type="character" w:styleId="BesuchterLink">
    <w:name w:val="FollowedHyperlink"/>
    <w:basedOn w:val="Absatz-Standardschriftart"/>
    <w:rsid w:val="00D76980"/>
    <w:rPr>
      <w:color w:val="800080"/>
      <w:u w:val="single"/>
    </w:rPr>
  </w:style>
  <w:style w:type="character" w:customStyle="1" w:styleId="berschrift2Zchn">
    <w:name w:val="Überschrift 2 Zchn"/>
    <w:basedOn w:val="Absatz-Standardschriftart"/>
    <w:link w:val="berschrift2"/>
    <w:uiPriority w:val="9"/>
    <w:semiHidden/>
    <w:rsid w:val="00641A00"/>
    <w:rPr>
      <w:rFonts w:asciiTheme="majorHAnsi" w:eastAsiaTheme="majorEastAsia" w:hAnsiTheme="majorHAnsi" w:cstheme="majorBidi"/>
      <w:b/>
      <w:bCs/>
      <w:i/>
      <w:iCs/>
      <w:sz w:val="28"/>
      <w:szCs w:val="28"/>
      <w:lang w:val="pl-PL" w:eastAsia="en-US"/>
    </w:rPr>
  </w:style>
  <w:style w:type="character" w:styleId="NichtaufgelsteErwhnung">
    <w:name w:val="Unresolved Mention"/>
    <w:basedOn w:val="Absatz-Standardschriftart"/>
    <w:uiPriority w:val="99"/>
    <w:semiHidden/>
    <w:unhideWhenUsed/>
    <w:rsid w:val="00641A00"/>
    <w:rPr>
      <w:color w:val="605E5C"/>
      <w:shd w:val="clear" w:color="auto" w:fill="E1DFDD"/>
    </w:rPr>
  </w:style>
  <w:style w:type="character" w:styleId="Kommentarzeichen">
    <w:name w:val="annotation reference"/>
    <w:basedOn w:val="Absatz-Standardschriftart"/>
    <w:uiPriority w:val="99"/>
    <w:semiHidden/>
    <w:unhideWhenUsed/>
    <w:rsid w:val="00DE52CE"/>
    <w:rPr>
      <w:sz w:val="16"/>
      <w:szCs w:val="16"/>
    </w:rPr>
  </w:style>
  <w:style w:type="paragraph" w:styleId="Kommentartext">
    <w:name w:val="annotation text"/>
    <w:basedOn w:val="Standard"/>
    <w:link w:val="KommentartextZchn"/>
    <w:uiPriority w:val="99"/>
    <w:semiHidden/>
    <w:unhideWhenUsed/>
    <w:rsid w:val="00DE52CE"/>
    <w:rPr>
      <w:sz w:val="20"/>
      <w:szCs w:val="20"/>
    </w:rPr>
  </w:style>
  <w:style w:type="character" w:customStyle="1" w:styleId="KommentartextZchn">
    <w:name w:val="Kommentartext Zchn"/>
    <w:basedOn w:val="Absatz-Standardschriftart"/>
    <w:link w:val="Kommentartext"/>
    <w:uiPriority w:val="99"/>
    <w:semiHidden/>
    <w:rsid w:val="00DE52CE"/>
    <w:rPr>
      <w:lang w:val="pl-PL" w:eastAsia="en-US"/>
    </w:rPr>
  </w:style>
  <w:style w:type="paragraph" w:styleId="Kommentarthema">
    <w:name w:val="annotation subject"/>
    <w:basedOn w:val="Kommentartext"/>
    <w:next w:val="Kommentartext"/>
    <w:link w:val="KommentarthemaZchn"/>
    <w:uiPriority w:val="99"/>
    <w:semiHidden/>
    <w:unhideWhenUsed/>
    <w:rsid w:val="00DE52CE"/>
    <w:rPr>
      <w:b/>
      <w:bCs/>
    </w:rPr>
  </w:style>
  <w:style w:type="character" w:customStyle="1" w:styleId="KommentarthemaZchn">
    <w:name w:val="Kommentarthema Zchn"/>
    <w:basedOn w:val="KommentartextZchn"/>
    <w:link w:val="Kommentarthema"/>
    <w:uiPriority w:val="99"/>
    <w:semiHidden/>
    <w:rsid w:val="00DE52CE"/>
    <w:rPr>
      <w:b/>
      <w:bCs/>
      <w:lang w:val="pl-PL" w:eastAsia="en-US"/>
    </w:rPr>
  </w:style>
  <w:style w:type="paragraph" w:styleId="Sprechblasentext">
    <w:name w:val="Balloon Text"/>
    <w:basedOn w:val="Standard"/>
    <w:link w:val="SprechblasentextZchn"/>
    <w:uiPriority w:val="99"/>
    <w:semiHidden/>
    <w:unhideWhenUsed/>
    <w:rsid w:val="00DE52C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52CE"/>
    <w:rPr>
      <w:rFonts w:ascii="Segoe UI" w:hAnsi="Segoe UI" w:cs="Segoe UI"/>
      <w:sz w:val="18"/>
      <w:szCs w:val="18"/>
      <w:lang w:val="pl-PL" w:eastAsia="en-US"/>
    </w:rPr>
  </w:style>
  <w:style w:type="paragraph" w:styleId="Listenabsatz">
    <w:name w:val="List Paragraph"/>
    <w:basedOn w:val="Standard"/>
    <w:uiPriority w:val="34"/>
    <w:qFormat/>
    <w:rsid w:val="002206B9"/>
    <w:pPr>
      <w:ind w:left="720"/>
      <w:contextualSpacing/>
    </w:pPr>
  </w:style>
  <w:style w:type="table" w:styleId="Tabellenraster">
    <w:name w:val="Table Grid"/>
    <w:basedOn w:val="NormaleTabelle"/>
    <w:rsid w:val="00D32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ettinger.at/pres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oettinger.at/de_at/Newsroom/Pressebild/4599" TargetMode="External"/><Relationship Id="rId4" Type="http://schemas.openxmlformats.org/officeDocument/2006/relationships/webSettings" Target="webSettings.xml"/><Relationship Id="rId9" Type="http://schemas.openxmlformats.org/officeDocument/2006/relationships/hyperlink" Target="https://www.poettinger.at/de_at/Newsroom/Pressebild/460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pl" TargetMode="External"/><Relationship Id="rId1" Type="http://schemas.openxmlformats.org/officeDocument/2006/relationships/hyperlink" Target="mailto:edyta.tyrakowska@poettinge.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B64E7AA7.dotm</Template>
  <TotalTime>0</TotalTime>
  <Pages>3</Pages>
  <Words>546</Words>
  <Characters>3701</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Die neue alpine Pöttinger-Flotte</vt:lpstr>
    </vt:vector>
  </TitlesOfParts>
  <Company>PÖTTINGER Landtechnik GmbH.</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neue alpine Pöttinger-Flotte</dc:title>
  <dc:subject/>
  <dc:creator>steiing</dc:creator>
  <cp:keywords/>
  <dc:description/>
  <cp:lastModifiedBy>Tyrakowska Edyta</cp:lastModifiedBy>
  <cp:revision>2</cp:revision>
  <cp:lastPrinted>2019-02-15T08:01:00Z</cp:lastPrinted>
  <dcterms:created xsi:type="dcterms:W3CDTF">2020-11-05T14:59:00Z</dcterms:created>
  <dcterms:modified xsi:type="dcterms:W3CDTF">2020-11-05T14:59:00Z</dcterms:modified>
</cp:coreProperties>
</file>