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DEB6" w14:textId="77777777" w:rsidR="00AE025E" w:rsidRDefault="00DE02DB" w:rsidP="00622EEF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/>
          <w:sz w:val="40"/>
        </w:rPr>
        <w:t>Przygotowanie gleby do siewu z Pöttingerem</w:t>
      </w:r>
    </w:p>
    <w:p w14:paraId="0DE93054" w14:textId="33F13955" w:rsidR="005D2ACE" w:rsidRPr="00CC4B04" w:rsidRDefault="00AE025E" w:rsidP="00622EEF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</w:rPr>
      </w:pPr>
      <w:r>
        <w:rPr>
          <w:rFonts w:ascii="Arial" w:hAnsi="Arial"/>
          <w:sz w:val="40"/>
        </w:rPr>
        <w:t>Sztywne brony wirnikowe LI</w:t>
      </w:r>
      <w:r>
        <w:rPr>
          <w:rFonts w:ascii="Arial" w:hAnsi="Arial"/>
          <w:sz w:val="36"/>
        </w:rPr>
        <w:t>ON w nowym wydaniu</w:t>
      </w:r>
    </w:p>
    <w:p w14:paraId="122D2DC7" w14:textId="7A33335E" w:rsidR="003850A4" w:rsidRPr="00CC4B04" w:rsidRDefault="003850A4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Brony wirnikowe odgrywają znaczącą rolę w wielu w koncepcjach uprawy roślin. Doskonałe rozdrobnienie i przemieszanie gleby zapewniające idealnie przygotowan</w:t>
      </w:r>
      <w:r w:rsidR="001B1E30">
        <w:rPr>
          <w:rFonts w:ascii="Arial" w:hAnsi="Arial"/>
          <w:sz w:val="24"/>
        </w:rPr>
        <w:t>ie łoża siewnego</w:t>
      </w:r>
      <w:r>
        <w:rPr>
          <w:rFonts w:ascii="Arial" w:hAnsi="Arial"/>
          <w:sz w:val="24"/>
        </w:rPr>
        <w:t xml:space="preserve"> to największe atuty bron wirnikowych marki PÖTTINGER. W kombinacji z siewnikiem tworzą wszechstronny i ekonomiczny zestaw do perfekcyjnego siewu. Pöttinger oferuje indywidualne rozwiązania w postaci bron wirnikowych LION o szerokościach roboczych od 2,5 m do 4,0 m oraz wiele wariantów wyposażenia dla wszystkich rodzajów gleb i gospodarstw o różnej wielkości. </w:t>
      </w:r>
    </w:p>
    <w:p w14:paraId="5DAB2270" w14:textId="77777777" w:rsidR="008F02ED" w:rsidRDefault="008F02ED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4EF6117" w14:textId="0220BFFD" w:rsidR="005D2ACE" w:rsidRPr="00CC4B04" w:rsidRDefault="003850A4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Najlepsz</w:t>
      </w:r>
      <w:r w:rsidR="003E3B6F">
        <w:rPr>
          <w:rFonts w:ascii="Arial" w:hAnsi="Arial"/>
          <w:b/>
          <w:color w:val="000000" w:themeColor="text1"/>
          <w:sz w:val="24"/>
        </w:rPr>
        <w:t>e</w:t>
      </w:r>
      <w:r>
        <w:rPr>
          <w:rFonts w:ascii="Arial" w:hAnsi="Arial"/>
          <w:b/>
          <w:color w:val="000000" w:themeColor="text1"/>
          <w:sz w:val="24"/>
        </w:rPr>
        <w:t xml:space="preserve"> efekt</w:t>
      </w:r>
      <w:r w:rsidR="003E3B6F">
        <w:rPr>
          <w:rFonts w:ascii="Arial" w:hAnsi="Arial"/>
          <w:b/>
          <w:color w:val="000000" w:themeColor="text1"/>
          <w:sz w:val="24"/>
        </w:rPr>
        <w:t>y</w:t>
      </w:r>
      <w:r>
        <w:rPr>
          <w:rFonts w:ascii="Arial" w:hAnsi="Arial"/>
          <w:b/>
          <w:color w:val="000000" w:themeColor="text1"/>
          <w:sz w:val="24"/>
        </w:rPr>
        <w:t xml:space="preserve"> pracy</w:t>
      </w:r>
    </w:p>
    <w:p w14:paraId="4866AD36" w14:textId="1B900614" w:rsidR="00156806" w:rsidRPr="003E3B6F" w:rsidRDefault="00156806" w:rsidP="00156806">
      <w:p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Doskonale przygotowan</w:t>
      </w:r>
      <w:r w:rsidR="003E3B6F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</w:t>
      </w:r>
      <w:r w:rsidR="003E3B6F">
        <w:rPr>
          <w:rFonts w:ascii="Arial" w:hAnsi="Arial"/>
          <w:sz w:val="24"/>
        </w:rPr>
        <w:t>gleba do siewu</w:t>
      </w:r>
      <w:r>
        <w:rPr>
          <w:rFonts w:ascii="Arial" w:hAnsi="Arial"/>
          <w:sz w:val="24"/>
        </w:rPr>
        <w:t xml:space="preserve"> charakteryzuje się idealnym udziałem gleby </w:t>
      </w:r>
      <w:r w:rsidR="003E3B6F">
        <w:rPr>
          <w:rFonts w:ascii="Arial" w:hAnsi="Arial"/>
          <w:sz w:val="24"/>
        </w:rPr>
        <w:t>o strukturze gruzełkowatej,</w:t>
      </w:r>
      <w:r>
        <w:rPr>
          <w:rFonts w:ascii="Arial" w:hAnsi="Arial"/>
          <w:sz w:val="24"/>
        </w:rPr>
        <w:t xml:space="preserve"> jej odpowiednim zagęszczeni</w:t>
      </w:r>
      <w:r w:rsidR="001B1E30">
        <w:rPr>
          <w:rFonts w:ascii="Arial" w:hAnsi="Arial"/>
          <w:sz w:val="24"/>
        </w:rPr>
        <w:t>em</w:t>
      </w:r>
      <w:r w:rsidR="003E3B6F">
        <w:rPr>
          <w:rFonts w:ascii="Arial" w:hAnsi="Arial"/>
          <w:sz w:val="24"/>
        </w:rPr>
        <w:t xml:space="preserve"> oraz wyrównanym, płaskim</w:t>
      </w:r>
      <w:r w:rsidR="001B1E30">
        <w:rPr>
          <w:rFonts w:ascii="Arial" w:hAnsi="Arial"/>
          <w:sz w:val="24"/>
        </w:rPr>
        <w:t xml:space="preserve"> </w:t>
      </w:r>
      <w:r w:rsidR="003E3B6F">
        <w:rPr>
          <w:rFonts w:ascii="Arial" w:hAnsi="Arial"/>
          <w:sz w:val="24"/>
        </w:rPr>
        <w:t xml:space="preserve">horyzontem </w:t>
      </w:r>
      <w:r w:rsidR="001B1E30">
        <w:rPr>
          <w:rFonts w:ascii="Arial" w:hAnsi="Arial"/>
          <w:sz w:val="24"/>
        </w:rPr>
        <w:t xml:space="preserve">uprawionego </w:t>
      </w:r>
      <w:r w:rsidR="003E3B6F">
        <w:rPr>
          <w:rFonts w:ascii="Arial" w:hAnsi="Arial"/>
          <w:sz w:val="24"/>
        </w:rPr>
        <w:t>pola.</w:t>
      </w:r>
      <w:r>
        <w:rPr>
          <w:rFonts w:ascii="Arial" w:hAnsi="Arial"/>
          <w:sz w:val="24"/>
        </w:rPr>
        <w:t xml:space="preserve"> Dzięki przemyślanemu rozmieszczeniu wirników aktywna uprawa gleby odbywa się na całej szerokości maszyny. Stwarza to optymalne warunki do szybkiego kiełkowania i </w:t>
      </w:r>
      <w:r w:rsidRPr="00B04F52">
        <w:rPr>
          <w:rFonts w:ascii="Arial" w:hAnsi="Arial"/>
          <w:sz w:val="24"/>
        </w:rPr>
        <w:t>wzrostu roślin. Uchwyt zęba jest całkowicie zintegrowany z belką wirników.</w:t>
      </w:r>
      <w:r w:rsidR="004D62A7" w:rsidRPr="00B04F52">
        <w:rPr>
          <w:rFonts w:ascii="Arial" w:hAnsi="Arial"/>
          <w:sz w:val="24"/>
        </w:rPr>
        <w:t xml:space="preserve"> </w:t>
      </w:r>
      <w:r w:rsidRPr="00B04F52">
        <w:rPr>
          <w:rFonts w:ascii="Arial" w:hAnsi="Arial"/>
          <w:sz w:val="24"/>
        </w:rPr>
        <w:t>Zapewnia to wysoką efektywność pracy, ponieważ ziemia nie przepływa nad</w:t>
      </w:r>
      <w:r>
        <w:rPr>
          <w:rFonts w:ascii="Arial" w:hAnsi="Arial"/>
          <w:sz w:val="24"/>
        </w:rPr>
        <w:t xml:space="preserve"> wirnikami. Resztki pożniwne nie mogą się owijać i nie ma potrzeby stosowania oddzielnej ochrony przed kamieniami.</w:t>
      </w:r>
    </w:p>
    <w:p w14:paraId="27AC3705" w14:textId="77777777" w:rsidR="00C9782F" w:rsidRDefault="00C9782F" w:rsidP="001568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C41879D" w14:textId="6ABB1F4A" w:rsidR="00FB2306" w:rsidRPr="00CC4B04" w:rsidRDefault="00225B09" w:rsidP="001568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Uniwersalne zęby do pracy w każdych warunkach</w:t>
      </w:r>
    </w:p>
    <w:p w14:paraId="36247F3A" w14:textId="03B30A0D" w:rsidR="00225B09" w:rsidRPr="00CC4B04" w:rsidRDefault="00225B09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Brony wirnikowe LION z 3,3-wirnikami na metr szerokości roboczej mogą być stosowane zarówno jako brony wirnikowe, jak również kultywatory wirnikowe. Brona z 4 wirnikami na metr szerokości roboczej może być wykorzystywana tylko jako brona wirnikowa. Do zmiany sposobu pracy potrzebne jest tylko proste przełożenie zębów. Ustawienie zęba w pozycji ciąganej pozwala na uzyskanie dobrej gruzełkowatej struktury gleby na całym obszarze uprawy. Warstwa mulczu pozostaje w górnym obszarze roboczym i służy ochronie przed erozją. </w:t>
      </w:r>
    </w:p>
    <w:p w14:paraId="5269B35B" w14:textId="77777777" w:rsidR="00E045DF" w:rsidRDefault="00225B09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Przy ustawieniu zębów w pozycji natarcia gleba jest agresywnie rozbijana od dołu. Powoduje to dobre wymieszanie, przy czym drobna gleba ma tendencję do koncentrowania się w dolnej części uprawianego obszaru. Dla obu zastosowań jest </w:t>
      </w:r>
      <w:r>
        <w:rPr>
          <w:rFonts w:ascii="Arial" w:hAnsi="Arial"/>
          <w:sz w:val="24"/>
        </w:rPr>
        <w:lastRenderedPageBreak/>
        <w:t>jeden kształt zębów. Zęby brony LION mają długą żywotność i dzięki temu zapewniają stałą, efektywną uprawę gleby z intensywnym spulchnianiem i równomiernym rozdrabnianiem. Na życzenie dostępne są wzmocnione zęby DURASTAR charakteryzujące jeszcze dłuższym czasem eksploatacji.</w:t>
      </w:r>
    </w:p>
    <w:p w14:paraId="63602E3D" w14:textId="4240FE54" w:rsidR="00484099" w:rsidRPr="00CC4B04" w:rsidRDefault="00484099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34CBEACB" w14:textId="0641FB44" w:rsidR="00051C90" w:rsidRPr="00CC4B04" w:rsidRDefault="00F830C9" w:rsidP="00225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 xml:space="preserve">Nowość: </w:t>
      </w:r>
      <w:r w:rsidR="00AE7D72">
        <w:rPr>
          <w:rFonts w:ascii="Arial" w:hAnsi="Arial"/>
          <w:b/>
          <w:color w:val="000000" w:themeColor="text1"/>
          <w:sz w:val="24"/>
        </w:rPr>
        <w:t>s</w:t>
      </w:r>
      <w:r>
        <w:rPr>
          <w:rFonts w:ascii="Arial" w:hAnsi="Arial"/>
          <w:b/>
          <w:color w:val="000000" w:themeColor="text1"/>
          <w:sz w:val="24"/>
        </w:rPr>
        <w:t>zerokość robocza równa szerokości transportowej</w:t>
      </w:r>
    </w:p>
    <w:p w14:paraId="437C8FCB" w14:textId="1E5343E2" w:rsidR="007A2B5A" w:rsidRPr="00CC4B04" w:rsidRDefault="007A2B5A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Aby przystąpić do pracy zestawem, dla dodatkowej wygody, blachy boczne nie muszą być teraz oddzielnie podnoszone do góry. Blachy mieszczą się w dopuszczalnej szerokości transportowej i w pełni wykorzystują maksymalną szerokość roboczą. Oznacza to, że w przypadku maszyn o szerokości roboczej 3,0 m, 3,5 m i 4,0 m nie ma konieczności ustawiania maszyny do transportu (dopuszczalna szerokość transportowa różni się w zależności od kraju). To pozwala zaoszczędzić czas.</w:t>
      </w:r>
    </w:p>
    <w:p w14:paraId="08FA29DC" w14:textId="7D308965" w:rsidR="007A2B5A" w:rsidRPr="00CC4B04" w:rsidRDefault="007A2B5A" w:rsidP="00BB1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Do ochrony przez wyrzucanymi kamieniami i maszyny podczas pracy, do wanny przekładni została zamontowana specjalna rura. Na rurze tej można też w prosty sposób zamontować spulchniacze śladu.</w:t>
      </w:r>
    </w:p>
    <w:p w14:paraId="4A209630" w14:textId="77777777" w:rsidR="00A82C97" w:rsidRDefault="00A82C97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3E49D126" w14:textId="5AFD7FE7" w:rsidR="00BB166B" w:rsidRPr="00CC4B04" w:rsidRDefault="00225B09" w:rsidP="00BB166B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Przemyślane detale</w:t>
      </w:r>
    </w:p>
    <w:p w14:paraId="3481E080" w14:textId="2099E68C" w:rsidR="00225B09" w:rsidRPr="00CC4B04" w:rsidRDefault="00225B09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Reakcja na zmieniające się warunki pracy musi być szybka i łatwa w realizacji. Poprzez proste przełożenie sworzni na 9-otworowej płycie można elastycznie regulować głębokość roboczą sztywnych bron wirnikowych LION. Hydrauliczna regulacja głębokości jest dostępna w opcji.</w:t>
      </w:r>
    </w:p>
    <w:p w14:paraId="324113DC" w14:textId="4F96A20D" w:rsidR="004A6F02" w:rsidRPr="00CC4B04" w:rsidRDefault="00225B09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Tylna szyna uderzeniowa stanowi wyposażenie seryjne i jest prowadzona na głębokości razem z wałem. Nie jest konieczna korekta ustawień głębokości.</w:t>
      </w:r>
    </w:p>
    <w:p w14:paraId="58E729F5" w14:textId="77777777" w:rsidR="008F41BC" w:rsidRDefault="008F41BC" w:rsidP="00225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2CF54583" w14:textId="6C05F653" w:rsidR="00F7033C" w:rsidRPr="00CC4B04" w:rsidRDefault="00F7033C" w:rsidP="00225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Wszechstronne zastosowanie</w:t>
      </w:r>
    </w:p>
    <w:p w14:paraId="605F5E25" w14:textId="77777777" w:rsidR="00CE61AE" w:rsidRDefault="00F7033C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Szeroka oferta ciężkich bron wirnikowych Pöttinger zapewnia odpowiedni wybór dopasowany do mocy ciągnika i różnych warunków pracy. Każda z przekładni jest optymalnie dopasowana do celu uprawy i warunków pracy, co zapewnia jej długi czas eksploatacji. Zastosowano 3 modele przekładni. </w:t>
      </w:r>
    </w:p>
    <w:p w14:paraId="648352DD" w14:textId="77777777" w:rsidR="00CE61AE" w:rsidRDefault="00CE61AE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204D60" w14:textId="07992208" w:rsidR="00F7033C" w:rsidRDefault="004E427F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35230708"/>
      <w:r>
        <w:rPr>
          <w:rFonts w:ascii="Arial" w:hAnsi="Arial"/>
          <w:sz w:val="24"/>
        </w:rPr>
        <w:t xml:space="preserve">Wszystkie sztywne brony wirnikowe z serii LION CLASSIC, przeznaczone do ciągników o mocy 150 KM, a także oba typoszeregi  z przekładnią z wymiennymi </w:t>
      </w:r>
      <w:r>
        <w:rPr>
          <w:rFonts w:ascii="Arial" w:hAnsi="Arial"/>
          <w:sz w:val="24"/>
        </w:rPr>
        <w:lastRenderedPageBreak/>
        <w:t>kołami - LION do ciągników o mocy do 200 KM oraz LION MASTER do 270 KM - charakteryzują się bardzo spokojną pracą w polu i na uwrociach.</w:t>
      </w:r>
    </w:p>
    <w:bookmarkEnd w:id="0"/>
    <w:p w14:paraId="6C1EA868" w14:textId="77777777" w:rsidR="00E502FC" w:rsidRPr="007D4DB6" w:rsidRDefault="00E502FC" w:rsidP="00E502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2BE430" w14:textId="0ADD7002" w:rsidR="00E502FC" w:rsidRDefault="00E502FC" w:rsidP="00E502FC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Podgląd zdjęć: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BE4701" w:rsidRPr="000333B1" w14:paraId="36ABB019" w14:textId="77777777" w:rsidTr="00BE4701">
        <w:trPr>
          <w:trHeight w:val="1544"/>
        </w:trPr>
        <w:tc>
          <w:tcPr>
            <w:tcW w:w="4390" w:type="dxa"/>
          </w:tcPr>
          <w:p w14:paraId="2FD43754" w14:textId="77777777" w:rsidR="00BE4701" w:rsidRPr="000333B1" w:rsidRDefault="00BE4701" w:rsidP="00255CE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7B5B717C" w14:textId="77777777" w:rsidR="00BE4701" w:rsidRPr="000333B1" w:rsidRDefault="00BE4701" w:rsidP="00255CE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4D89046" wp14:editId="4323A2C6">
                  <wp:extent cx="1428750" cy="953691"/>
                  <wp:effectExtent l="0" t="0" r="0" b="0"/>
                  <wp:docPr id="1" name="Bild 1" descr="Ein Bild, das Rad, Reifen, draußen, Gelän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Ein Bild, das Rad, Reifen, draußen, Gelän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77" cy="95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7E1DAD26" w14:textId="77777777" w:rsidR="00BE4701" w:rsidRPr="000333B1" w:rsidRDefault="00BE4701" w:rsidP="00255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53888037" w14:textId="77777777" w:rsidR="00BE4701" w:rsidRPr="000333B1" w:rsidRDefault="00BE4701" w:rsidP="00255CE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9285B7F" wp14:editId="2C4B019D">
                  <wp:extent cx="1428750" cy="953643"/>
                  <wp:effectExtent l="0" t="0" r="0" b="0"/>
                  <wp:docPr id="1867806395" name="Grafik 1" descr="Ein Bild, das Traktor, draußen, Landwirtschaftstechnik, Far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806395" name="Grafik 1" descr="Ein Bild, das Traktor, draußen, Landwirtschaftstechnik, Farm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953" cy="96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701" w:rsidRPr="00882541" w14:paraId="1CCEC47A" w14:textId="77777777" w:rsidTr="00BE4701">
        <w:trPr>
          <w:trHeight w:val="485"/>
        </w:trPr>
        <w:tc>
          <w:tcPr>
            <w:tcW w:w="4390" w:type="dxa"/>
          </w:tcPr>
          <w:p w14:paraId="738F7B0E" w14:textId="415D064A" w:rsidR="00BE4701" w:rsidRPr="00882541" w:rsidRDefault="00882541" w:rsidP="00255C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eastAsia="en-US"/>
              </w:rPr>
            </w:pPr>
            <w:r w:rsidRPr="00882541">
              <w:rPr>
                <w:rFonts w:ascii="Arial" w:hAnsi="Arial"/>
                <w:sz w:val="22"/>
              </w:rPr>
              <w:t xml:space="preserve">LION 3030 MASTER zwraca </w:t>
            </w:r>
            <w:r>
              <w:rPr>
                <w:rFonts w:ascii="Arial" w:hAnsi="Arial"/>
                <w:sz w:val="22"/>
              </w:rPr>
              <w:t>uwagę swoim nowym, atrakcyjnym wyglądem</w:t>
            </w:r>
          </w:p>
        </w:tc>
        <w:tc>
          <w:tcPr>
            <w:tcW w:w="3966" w:type="dxa"/>
          </w:tcPr>
          <w:p w14:paraId="6270CF54" w14:textId="2D3AAD95" w:rsidR="00BE4701" w:rsidRPr="00882541" w:rsidRDefault="00882541" w:rsidP="00255C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</w:rPr>
              <w:t xml:space="preserve">Mocną stroną </w:t>
            </w:r>
            <w:r w:rsidRPr="00882541">
              <w:rPr>
                <w:rFonts w:ascii="Arial" w:hAnsi="Arial"/>
                <w:sz w:val="22"/>
              </w:rPr>
              <w:t xml:space="preserve">brony LION 3030 MASTER jest możliwość </w:t>
            </w:r>
            <w:r>
              <w:rPr>
                <w:rFonts w:ascii="Arial" w:hAnsi="Arial"/>
                <w:sz w:val="22"/>
              </w:rPr>
              <w:t>pracy w każdych warunkach</w:t>
            </w:r>
          </w:p>
        </w:tc>
      </w:tr>
      <w:tr w:rsidR="00BE4701" w:rsidRPr="00882541" w14:paraId="6C0988F8" w14:textId="77777777" w:rsidTr="00BE4701">
        <w:trPr>
          <w:trHeight w:val="234"/>
        </w:trPr>
        <w:tc>
          <w:tcPr>
            <w:tcW w:w="4390" w:type="dxa"/>
          </w:tcPr>
          <w:p w14:paraId="43543292" w14:textId="77777777" w:rsidR="00BE4701" w:rsidRPr="00B04F52" w:rsidRDefault="00AE7D72" w:rsidP="00255CED">
            <w:pPr>
              <w:jc w:val="center"/>
              <w:rPr>
                <w:rStyle w:val="Hyperlink"/>
              </w:rPr>
            </w:pPr>
            <w:hyperlink r:id="rId12" w:history="1">
              <w:r w:rsidR="00BE4701" w:rsidRPr="00B04F52">
                <w:rPr>
                  <w:rStyle w:val="Hyperlink"/>
                  <w:rFonts w:ascii="Arial" w:hAnsi="Arial" w:cs="Arial"/>
                </w:rPr>
                <w:t>https://www.poettinger.at/de_at/newsroom/pressebild/102541</w:t>
              </w:r>
            </w:hyperlink>
          </w:p>
          <w:p w14:paraId="1024D200" w14:textId="77777777" w:rsidR="00BE4701" w:rsidRPr="00B04F52" w:rsidRDefault="00BE4701" w:rsidP="00255CED">
            <w:pPr>
              <w:jc w:val="center"/>
              <w:rPr>
                <w:rStyle w:val="Hyperlink"/>
              </w:rPr>
            </w:pPr>
          </w:p>
        </w:tc>
        <w:tc>
          <w:tcPr>
            <w:tcW w:w="3966" w:type="dxa"/>
          </w:tcPr>
          <w:p w14:paraId="6F98FDFF" w14:textId="77777777" w:rsidR="00BE4701" w:rsidRPr="00B04F52" w:rsidRDefault="00AE7D72" w:rsidP="00255CED">
            <w:pPr>
              <w:jc w:val="center"/>
              <w:rPr>
                <w:rStyle w:val="Hyperlink"/>
              </w:rPr>
            </w:pPr>
            <w:hyperlink r:id="rId13" w:history="1">
              <w:r w:rsidR="00BE4701" w:rsidRPr="00B04F52">
                <w:rPr>
                  <w:rStyle w:val="Hyperlink"/>
                  <w:rFonts w:ascii="Arial" w:hAnsi="Arial" w:cs="Arial"/>
                </w:rPr>
                <w:t>https://www.poettinger.at/de_at/newsroom/pressebild/102543</w:t>
              </w:r>
            </w:hyperlink>
          </w:p>
          <w:p w14:paraId="5B552216" w14:textId="77777777" w:rsidR="00BE4701" w:rsidRPr="00B04F52" w:rsidRDefault="00BE4701" w:rsidP="00882541">
            <w:pPr>
              <w:jc w:val="center"/>
              <w:rPr>
                <w:rStyle w:val="Hyperlink"/>
              </w:rPr>
            </w:pPr>
          </w:p>
        </w:tc>
      </w:tr>
    </w:tbl>
    <w:p w14:paraId="0E19AD9A" w14:textId="77777777" w:rsidR="00E502FC" w:rsidRPr="00B04F52" w:rsidRDefault="00E502FC" w:rsidP="00E502FC"/>
    <w:p w14:paraId="0A25AA8A" w14:textId="77777777" w:rsidR="00E502FC" w:rsidRPr="00A20902" w:rsidRDefault="00E502FC" w:rsidP="00E502F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hyperlink r:id="rId14" w:history="1">
        <w:r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p w14:paraId="4173EBDA" w14:textId="77777777" w:rsidR="00E502FC" w:rsidRPr="00CC4B04" w:rsidRDefault="00E502FC" w:rsidP="00225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502FC" w:rsidRPr="00CC4B04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0E30" w14:textId="77777777" w:rsidR="003B2D13" w:rsidRDefault="003B2D13" w:rsidP="00E6790D">
      <w:pPr>
        <w:spacing w:after="0" w:line="240" w:lineRule="auto"/>
      </w:pPr>
      <w:r>
        <w:separator/>
      </w:r>
    </w:p>
  </w:endnote>
  <w:endnote w:type="continuationSeparator" w:id="0">
    <w:p w14:paraId="0A542091" w14:textId="77777777" w:rsidR="003B2D13" w:rsidRDefault="003B2D13" w:rsidP="00E6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DD3" w14:textId="77777777" w:rsidR="00CC4B04" w:rsidRDefault="00CC4B04" w:rsidP="00CC4B04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4D06917C" w14:textId="1A99258E" w:rsidR="00CC4B04" w:rsidRPr="00CC4B04" w:rsidRDefault="00CC4B04" w:rsidP="00CC4B04">
    <w:pPr>
      <w:spacing w:after="0" w:line="240" w:lineRule="auto"/>
      <w:rPr>
        <w:rFonts w:ascii="Arial" w:hAnsi="Arial" w:cs="Arial"/>
        <w:bCs/>
        <w:sz w:val="20"/>
        <w:szCs w:val="20"/>
      </w:rPr>
    </w:pPr>
    <w:r>
      <w:rPr>
        <w:rFonts w:ascii="Arial" w:hAnsi="Arial"/>
        <w:b/>
        <w:sz w:val="20"/>
      </w:rPr>
      <w:t>PÖTTINGER Polska Sp. z o.o.</w:t>
    </w:r>
  </w:p>
  <w:p w14:paraId="10081705" w14:textId="77777777" w:rsidR="00CC4B04" w:rsidRPr="00C264D7" w:rsidRDefault="00CC4B04" w:rsidP="00CC4B04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Edyta Tyrakowska, ul. Skawińska 22, 61-333 Poznań</w:t>
    </w:r>
  </w:p>
  <w:p w14:paraId="3E1D2B81" w14:textId="2167CD8C" w:rsidR="00E6790D" w:rsidRPr="00CC4B04" w:rsidRDefault="00CC4B04" w:rsidP="00CC4B04">
    <w:pPr>
      <w:pStyle w:val="Fuzeile"/>
    </w:pPr>
    <w:r>
      <w:rPr>
        <w:rFonts w:ascii="Arial" w:hAnsi="Arial"/>
        <w:sz w:val="20"/>
      </w:rPr>
      <w:t xml:space="preserve">Tel.: +48 603 770 957, E-Mail: </w:t>
    </w:r>
    <w:hyperlink r:id="rId1" w:history="1">
      <w:r>
        <w:rPr>
          <w:rFonts w:ascii="Arial" w:hAnsi="Arial"/>
          <w:sz w:val="20"/>
        </w:rPr>
        <w:t>edyta.tyrakowska@poettinger.at</w:t>
      </w:r>
    </w:hyperlink>
    <w:r>
      <w:rPr>
        <w:rFonts w:ascii="Arial" w:hAnsi="Arial"/>
        <w:sz w:val="20"/>
      </w:rPr>
      <w:t xml:space="preserve">, </w:t>
    </w:r>
    <w:hyperlink r:id="rId2" w:history="1">
      <w:r>
        <w:rPr>
          <w:rFonts w:ascii="Arial" w:hAnsi="Arial"/>
          <w:sz w:val="20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7035" w14:textId="77777777" w:rsidR="003B2D13" w:rsidRDefault="003B2D13" w:rsidP="00E6790D">
      <w:pPr>
        <w:spacing w:after="0" w:line="240" w:lineRule="auto"/>
      </w:pPr>
      <w:r>
        <w:separator/>
      </w:r>
    </w:p>
  </w:footnote>
  <w:footnote w:type="continuationSeparator" w:id="0">
    <w:p w14:paraId="7EB06830" w14:textId="77777777" w:rsidR="003B2D13" w:rsidRDefault="003B2D13" w:rsidP="00E6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7EA0" w14:textId="53F6B61C" w:rsidR="00E6790D" w:rsidRDefault="00242A20" w:rsidP="00E6790D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3822F2BF" wp14:editId="1F844D02">
          <wp:simplePos x="0" y="0"/>
          <wp:positionH relativeFrom="column">
            <wp:posOffset>3649916</wp:posOffset>
          </wp:positionH>
          <wp:positionV relativeFrom="paragraph">
            <wp:posOffset>128521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4179E2" w14:textId="240E4EEE" w:rsidR="00E6790D" w:rsidRDefault="00E6790D" w:rsidP="00E6790D">
    <w:pPr>
      <w:pStyle w:val="Kopfzeile"/>
      <w:rPr>
        <w:rFonts w:ascii="Arial" w:hAnsi="Arial" w:cs="Arial"/>
        <w:b/>
        <w:bCs/>
        <w:sz w:val="24"/>
        <w:szCs w:val="24"/>
      </w:rPr>
    </w:pPr>
    <w:r>
      <w:rPr>
        <w:rFonts w:ascii="Arial" w:hAnsi="Arial"/>
        <w:b/>
        <w:sz w:val="24"/>
      </w:rPr>
      <w:t>Informacja prasowa</w:t>
    </w:r>
  </w:p>
  <w:p w14:paraId="5FD0E157" w14:textId="77777777" w:rsidR="00E6790D" w:rsidRDefault="00E6790D">
    <w:pPr>
      <w:pStyle w:val="Kopfzeile"/>
    </w:pPr>
  </w:p>
  <w:p w14:paraId="536A0324" w14:textId="77777777" w:rsidR="00242A20" w:rsidRDefault="00242A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0941">
    <w:abstractNumId w:val="1"/>
  </w:num>
  <w:num w:numId="2" w16cid:durableId="1869373832">
    <w:abstractNumId w:val="0"/>
  </w:num>
  <w:num w:numId="3" w16cid:durableId="94916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11BF2"/>
    <w:rsid w:val="00023E7E"/>
    <w:rsid w:val="00051C90"/>
    <w:rsid w:val="00054DF2"/>
    <w:rsid w:val="000635D3"/>
    <w:rsid w:val="000974EE"/>
    <w:rsid w:val="000C4E1B"/>
    <w:rsid w:val="000C760A"/>
    <w:rsid w:val="00156806"/>
    <w:rsid w:val="001846B2"/>
    <w:rsid w:val="0019694E"/>
    <w:rsid w:val="001B1E30"/>
    <w:rsid w:val="00225B09"/>
    <w:rsid w:val="00234361"/>
    <w:rsid w:val="00242A20"/>
    <w:rsid w:val="00244777"/>
    <w:rsid w:val="0024766A"/>
    <w:rsid w:val="0026266B"/>
    <w:rsid w:val="0028056B"/>
    <w:rsid w:val="00303CDD"/>
    <w:rsid w:val="0033267C"/>
    <w:rsid w:val="0034552F"/>
    <w:rsid w:val="003662AC"/>
    <w:rsid w:val="0038196F"/>
    <w:rsid w:val="003850A4"/>
    <w:rsid w:val="003B2D13"/>
    <w:rsid w:val="003B6C29"/>
    <w:rsid w:val="003D2773"/>
    <w:rsid w:val="003E3B6F"/>
    <w:rsid w:val="004026CA"/>
    <w:rsid w:val="004509D4"/>
    <w:rsid w:val="00465598"/>
    <w:rsid w:val="00467F60"/>
    <w:rsid w:val="00484099"/>
    <w:rsid w:val="00496ED0"/>
    <w:rsid w:val="004A6F02"/>
    <w:rsid w:val="004D62A7"/>
    <w:rsid w:val="004E1334"/>
    <w:rsid w:val="004E427F"/>
    <w:rsid w:val="004F0A74"/>
    <w:rsid w:val="0052173B"/>
    <w:rsid w:val="00533AB7"/>
    <w:rsid w:val="00534941"/>
    <w:rsid w:val="00542BD9"/>
    <w:rsid w:val="00551D68"/>
    <w:rsid w:val="00570E7B"/>
    <w:rsid w:val="005D2ACE"/>
    <w:rsid w:val="005E6F84"/>
    <w:rsid w:val="005F14D2"/>
    <w:rsid w:val="00607F32"/>
    <w:rsid w:val="00622EEF"/>
    <w:rsid w:val="00624EC3"/>
    <w:rsid w:val="00692844"/>
    <w:rsid w:val="006E76CA"/>
    <w:rsid w:val="00721DC2"/>
    <w:rsid w:val="0072303C"/>
    <w:rsid w:val="007557A5"/>
    <w:rsid w:val="007773BB"/>
    <w:rsid w:val="00780B92"/>
    <w:rsid w:val="007A2B5A"/>
    <w:rsid w:val="007C117E"/>
    <w:rsid w:val="007D4DB6"/>
    <w:rsid w:val="00853200"/>
    <w:rsid w:val="00882541"/>
    <w:rsid w:val="008976AA"/>
    <w:rsid w:val="008C7810"/>
    <w:rsid w:val="008D693C"/>
    <w:rsid w:val="008F02ED"/>
    <w:rsid w:val="008F41BC"/>
    <w:rsid w:val="009047D3"/>
    <w:rsid w:val="00930673"/>
    <w:rsid w:val="00984FE0"/>
    <w:rsid w:val="009D575D"/>
    <w:rsid w:val="00A00256"/>
    <w:rsid w:val="00A1308D"/>
    <w:rsid w:val="00A37B91"/>
    <w:rsid w:val="00A65E07"/>
    <w:rsid w:val="00A82C97"/>
    <w:rsid w:val="00A90BE0"/>
    <w:rsid w:val="00AA1005"/>
    <w:rsid w:val="00AA51CF"/>
    <w:rsid w:val="00AE025E"/>
    <w:rsid w:val="00AE2C10"/>
    <w:rsid w:val="00AE7D72"/>
    <w:rsid w:val="00B04F52"/>
    <w:rsid w:val="00B06EC6"/>
    <w:rsid w:val="00B10969"/>
    <w:rsid w:val="00B8728C"/>
    <w:rsid w:val="00BB166B"/>
    <w:rsid w:val="00BB2A25"/>
    <w:rsid w:val="00BE4701"/>
    <w:rsid w:val="00C046A4"/>
    <w:rsid w:val="00C156C3"/>
    <w:rsid w:val="00C36E92"/>
    <w:rsid w:val="00C9782F"/>
    <w:rsid w:val="00CC4B04"/>
    <w:rsid w:val="00CE61AE"/>
    <w:rsid w:val="00D37433"/>
    <w:rsid w:val="00D66D6B"/>
    <w:rsid w:val="00D67246"/>
    <w:rsid w:val="00D74B4D"/>
    <w:rsid w:val="00DD0B65"/>
    <w:rsid w:val="00DE02DB"/>
    <w:rsid w:val="00E045DF"/>
    <w:rsid w:val="00E14F27"/>
    <w:rsid w:val="00E1642E"/>
    <w:rsid w:val="00E502FC"/>
    <w:rsid w:val="00E6790D"/>
    <w:rsid w:val="00E715D0"/>
    <w:rsid w:val="00E77227"/>
    <w:rsid w:val="00EA233F"/>
    <w:rsid w:val="00EA2BC0"/>
    <w:rsid w:val="00F7033C"/>
    <w:rsid w:val="00F72800"/>
    <w:rsid w:val="00F830C9"/>
    <w:rsid w:val="00FB0D7B"/>
    <w:rsid w:val="00FB2306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6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90D"/>
  </w:style>
  <w:style w:type="paragraph" w:styleId="Fuzeile">
    <w:name w:val="footer"/>
    <w:basedOn w:val="Standard"/>
    <w:link w:val="FuzeileZchn"/>
    <w:uiPriority w:val="99"/>
    <w:unhideWhenUsed/>
    <w:rsid w:val="00E6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90D"/>
  </w:style>
  <w:style w:type="table" w:styleId="Tabellenraster">
    <w:name w:val="Table Grid"/>
    <w:basedOn w:val="NormaleTabelle"/>
    <w:uiPriority w:val="39"/>
    <w:rsid w:val="00E5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502F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82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54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54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51161-DAF5-4EA6-B9FE-8CBF3F67E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D794D-1DFD-40D1-882A-C94175020941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423FC0F5-82AC-4060-BFF9-8A17C7A9A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LION starr</vt:lpstr>
    </vt:vector>
  </TitlesOfParts>
  <Company>PÖTTINGER Landtechnik GmbH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 starr</dc:title>
  <dc:subject/>
  <dc:creator>Ammon Felix</dc:creator>
  <cp:keywords/>
  <dc:description/>
  <cp:lastModifiedBy>Tyrakowska Edyta</cp:lastModifiedBy>
  <cp:revision>3</cp:revision>
  <dcterms:created xsi:type="dcterms:W3CDTF">2023-07-18T07:45:00Z</dcterms:created>
  <dcterms:modified xsi:type="dcterms:W3CDTF">2023-09-06T12:32:00Z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