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51C" w:rsidRPr="007F6BFF" w:rsidRDefault="000E6F8F" w:rsidP="00650AB1">
      <w:pPr>
        <w:spacing w:after="160" w:line="259" w:lineRule="auto"/>
        <w:rPr>
          <w:rFonts w:eastAsia="Calibri" w:cs="Times New Roman"/>
          <w:sz w:val="40"/>
          <w:szCs w:val="40"/>
          <w:lang w:val="en-GB"/>
        </w:rPr>
      </w:pPr>
      <w:r>
        <w:rPr>
          <w:rFonts w:eastAsia="Calibri,Times New Roman" w:cs="Calibri,Times New Roman"/>
          <w:sz w:val="24"/>
          <w:szCs w:val="24"/>
          <w:u w:val="single"/>
          <w:lang w:val="en-GB"/>
        </w:rPr>
        <w:t xml:space="preserve">12 </w:t>
      </w:r>
      <w:r w:rsidR="005E67C2">
        <w:rPr>
          <w:rFonts w:eastAsia="Calibri,Times New Roman" w:cs="Calibri,Times New Roman"/>
          <w:sz w:val="24"/>
          <w:szCs w:val="24"/>
          <w:u w:val="single"/>
          <w:lang w:val="en-GB"/>
        </w:rPr>
        <w:t xml:space="preserve">The </w:t>
      </w:r>
      <w:proofErr w:type="spellStart"/>
      <w:r w:rsidR="005663B8">
        <w:rPr>
          <w:rFonts w:eastAsia="Calibri,Times New Roman" w:cs="Calibri,Times New Roman"/>
          <w:sz w:val="24"/>
          <w:szCs w:val="24"/>
          <w:u w:val="single"/>
          <w:lang w:val="en-GB"/>
        </w:rPr>
        <w:t>agrirouter</w:t>
      </w:r>
      <w:proofErr w:type="spellEnd"/>
      <w:r w:rsidR="005E67C2">
        <w:rPr>
          <w:rFonts w:eastAsia="Calibri,Times New Roman" w:cs="Calibri,Times New Roman"/>
          <w:sz w:val="24"/>
          <w:szCs w:val="24"/>
          <w:u w:val="single"/>
          <w:lang w:val="en-GB"/>
        </w:rPr>
        <w:t xml:space="preserve"> is coming</w:t>
      </w:r>
      <w:r w:rsidR="005E67C2">
        <w:rPr>
          <w:rFonts w:eastAsia="Calibri,Times New Roman" w:cs="Calibri,Times New Roman"/>
          <w:sz w:val="24"/>
          <w:szCs w:val="24"/>
          <w:lang w:val="en-GB"/>
        </w:rPr>
        <w:br/>
      </w:r>
      <w:r w:rsidR="005E67C2">
        <w:rPr>
          <w:rFonts w:eastAsia="Calibri,Times New Roman" w:cs="Calibri,Times New Roman"/>
          <w:b/>
          <w:bCs/>
          <w:sz w:val="40"/>
          <w:szCs w:val="40"/>
          <w:lang w:val="en-GB"/>
        </w:rPr>
        <w:t>Simple and secure data exchange for farmers</w:t>
      </w:r>
    </w:p>
    <w:p w:rsidR="00BC129E" w:rsidRPr="007F6BFF" w:rsidRDefault="00097EC6" w:rsidP="00634DCE">
      <w:pPr>
        <w:spacing w:after="160" w:line="259" w:lineRule="auto"/>
        <w:jc w:val="both"/>
        <w:rPr>
          <w:rFonts w:eastAsia="Calibri" w:cs="Times New Roman"/>
          <w:i/>
          <w:sz w:val="24"/>
          <w:szCs w:val="24"/>
          <w:lang w:val="en-GB"/>
        </w:rPr>
      </w:pPr>
      <w:r>
        <w:rPr>
          <w:rFonts w:eastAsia="Calibri" w:cs="Times New Roman"/>
          <w:i/>
          <w:iCs/>
          <w:sz w:val="24"/>
          <w:szCs w:val="24"/>
          <w:lang w:val="en-GB"/>
        </w:rPr>
        <w:t>Osnabrück/Hanover, September 2017. At the start of 2016 DKE</w:t>
      </w:r>
      <w:r w:rsidR="00162D0A">
        <w:rPr>
          <w:rFonts w:eastAsia="Calibri" w:cs="Times New Roman"/>
          <w:i/>
          <w:iCs/>
          <w:sz w:val="24"/>
          <w:szCs w:val="24"/>
          <w:lang w:val="en-GB"/>
        </w:rPr>
        <w:t>-Data</w:t>
      </w:r>
      <w:r>
        <w:rPr>
          <w:rFonts w:eastAsia="Calibri" w:cs="Times New Roman"/>
          <w:i/>
          <w:iCs/>
          <w:sz w:val="24"/>
          <w:szCs w:val="24"/>
          <w:lang w:val="en-GB"/>
        </w:rPr>
        <w:t xml:space="preserve"> GmbH &amp; Co. KG a</w:t>
      </w:r>
      <w:r>
        <w:rPr>
          <w:rFonts w:eastAsia="Calibri" w:cs="Times New Roman"/>
          <w:i/>
          <w:iCs/>
          <w:sz w:val="24"/>
          <w:szCs w:val="24"/>
          <w:lang w:val="en-GB"/>
        </w:rPr>
        <w:t>n</w:t>
      </w:r>
      <w:r>
        <w:rPr>
          <w:rFonts w:eastAsia="Calibri" w:cs="Times New Roman"/>
          <w:i/>
          <w:iCs/>
          <w:sz w:val="24"/>
          <w:szCs w:val="24"/>
          <w:lang w:val="en-GB"/>
        </w:rPr>
        <w:t>nounced an Internet-based data exchange platform for farmers and contractors, which would be capable of connecting up machinery and agricultural software from a wide range of manufacturers. Now it is ready. DKE</w:t>
      </w:r>
      <w:r w:rsidR="00162D0A">
        <w:rPr>
          <w:rFonts w:eastAsia="Calibri" w:cs="Times New Roman"/>
          <w:i/>
          <w:iCs/>
          <w:sz w:val="24"/>
          <w:szCs w:val="24"/>
          <w:lang w:val="en-GB"/>
        </w:rPr>
        <w:t>-Data</w:t>
      </w:r>
      <w:r>
        <w:rPr>
          <w:rFonts w:eastAsia="Calibri" w:cs="Times New Roman"/>
          <w:i/>
          <w:iCs/>
          <w:sz w:val="24"/>
          <w:szCs w:val="24"/>
          <w:lang w:val="en-GB"/>
        </w:rPr>
        <w:t xml:space="preserve"> presents the </w:t>
      </w:r>
      <w:proofErr w:type="spellStart"/>
      <w:r w:rsidR="005663B8">
        <w:rPr>
          <w:rFonts w:eastAsia="Calibri" w:cs="Times New Roman"/>
          <w:i/>
          <w:iCs/>
          <w:sz w:val="24"/>
          <w:szCs w:val="24"/>
          <w:lang w:val="en-GB"/>
        </w:rPr>
        <w:t>agrirouter</w:t>
      </w:r>
      <w:proofErr w:type="spellEnd"/>
      <w:r>
        <w:rPr>
          <w:rFonts w:eastAsia="Calibri" w:cs="Times New Roman"/>
          <w:i/>
          <w:iCs/>
          <w:sz w:val="24"/>
          <w:szCs w:val="24"/>
          <w:lang w:val="en-GB"/>
        </w:rPr>
        <w:t xml:space="preserve"> at the Agricultural Tec</w:t>
      </w:r>
      <w:r>
        <w:rPr>
          <w:rFonts w:eastAsia="Calibri" w:cs="Times New Roman"/>
          <w:i/>
          <w:iCs/>
          <w:sz w:val="24"/>
          <w:szCs w:val="24"/>
          <w:lang w:val="en-GB"/>
        </w:rPr>
        <w:t>h</w:t>
      </w:r>
      <w:r>
        <w:rPr>
          <w:rFonts w:eastAsia="Calibri" w:cs="Times New Roman"/>
          <w:i/>
          <w:iCs/>
          <w:sz w:val="24"/>
          <w:szCs w:val="24"/>
          <w:lang w:val="en-GB"/>
        </w:rPr>
        <w:t>nology Fair</w:t>
      </w:r>
      <w:r w:rsidR="006715D8">
        <w:rPr>
          <w:rFonts w:eastAsia="Calibri" w:cs="Times New Roman"/>
          <w:i/>
          <w:iCs/>
          <w:sz w:val="24"/>
          <w:szCs w:val="24"/>
          <w:lang w:val="en-GB"/>
        </w:rPr>
        <w:t xml:space="preserve"> </w:t>
      </w:r>
      <w:proofErr w:type="spellStart"/>
      <w:r w:rsidR="006715D8">
        <w:rPr>
          <w:rFonts w:eastAsia="Calibri" w:cs="Times New Roman"/>
          <w:i/>
          <w:iCs/>
          <w:sz w:val="24"/>
          <w:szCs w:val="24"/>
          <w:lang w:val="en-GB"/>
        </w:rPr>
        <w:t>Agritechnica</w:t>
      </w:r>
      <w:proofErr w:type="spellEnd"/>
      <w:r>
        <w:rPr>
          <w:rFonts w:eastAsia="Calibri" w:cs="Times New Roman"/>
          <w:i/>
          <w:iCs/>
          <w:sz w:val="24"/>
          <w:szCs w:val="24"/>
          <w:lang w:val="en-GB"/>
        </w:rPr>
        <w:t xml:space="preserve"> in November 2017 in Hanover</w:t>
      </w:r>
      <w:r w:rsidR="006715D8">
        <w:rPr>
          <w:rFonts w:eastAsia="Calibri" w:cs="Times New Roman"/>
          <w:i/>
          <w:iCs/>
          <w:sz w:val="24"/>
          <w:szCs w:val="24"/>
          <w:lang w:val="en-GB"/>
        </w:rPr>
        <w:t>, Germany</w:t>
      </w:r>
      <w:r>
        <w:rPr>
          <w:rFonts w:eastAsia="Calibri" w:cs="Times New Roman"/>
          <w:i/>
          <w:iCs/>
          <w:sz w:val="24"/>
          <w:szCs w:val="24"/>
          <w:lang w:val="en-GB"/>
        </w:rPr>
        <w:t>.</w:t>
      </w:r>
    </w:p>
    <w:p w:rsidR="002F7EDF" w:rsidRPr="007F6BFF" w:rsidRDefault="002F7EDF" w:rsidP="00634DCE">
      <w:pPr>
        <w:spacing w:after="160" w:line="259" w:lineRule="auto"/>
        <w:jc w:val="both"/>
        <w:rPr>
          <w:b/>
          <w:sz w:val="24"/>
          <w:szCs w:val="24"/>
          <w:lang w:val="en-GB"/>
        </w:rPr>
      </w:pPr>
    </w:p>
    <w:p w:rsidR="00634DCE" w:rsidRPr="007F6BFF" w:rsidRDefault="00E31943" w:rsidP="00634DCE">
      <w:pPr>
        <w:spacing w:after="160" w:line="259" w:lineRule="auto"/>
        <w:jc w:val="both"/>
        <w:rPr>
          <w:b/>
          <w:sz w:val="24"/>
          <w:szCs w:val="24"/>
          <w:lang w:val="en-GB"/>
        </w:rPr>
      </w:pPr>
      <w:r>
        <w:rPr>
          <w:b/>
          <w:bCs/>
          <w:sz w:val="24"/>
          <w:szCs w:val="24"/>
          <w:lang w:val="en-GB"/>
        </w:rPr>
        <w:t>The resolution of a fundamental problem</w:t>
      </w:r>
    </w:p>
    <w:p w:rsidR="00655B5F" w:rsidRPr="007F6BFF" w:rsidRDefault="00655B5F" w:rsidP="00634DCE">
      <w:pPr>
        <w:spacing w:after="160" w:line="259" w:lineRule="auto"/>
        <w:jc w:val="both"/>
        <w:rPr>
          <w:b/>
          <w:sz w:val="24"/>
          <w:szCs w:val="24"/>
          <w:lang w:val="en-GB"/>
        </w:rPr>
      </w:pPr>
      <w:r>
        <w:rPr>
          <w:sz w:val="24"/>
          <w:szCs w:val="24"/>
          <w:lang w:val="en-GB"/>
        </w:rPr>
        <w:t>At its stand in Hall 15, DKE</w:t>
      </w:r>
      <w:r w:rsidR="00162D0A">
        <w:rPr>
          <w:sz w:val="24"/>
          <w:szCs w:val="24"/>
          <w:lang w:val="en-GB"/>
        </w:rPr>
        <w:t>-Data</w:t>
      </w:r>
      <w:r>
        <w:rPr>
          <w:sz w:val="24"/>
          <w:szCs w:val="24"/>
          <w:lang w:val="en-GB"/>
        </w:rPr>
        <w:t xml:space="preserve"> GmbH &amp; Co. KG presents a data-exchange platform that addresses a fundamental problem in the digitalisation of agriculture: The new tool allows farmers and contractors to exchange data between machinery and agricultural software a</w:t>
      </w:r>
      <w:r>
        <w:rPr>
          <w:sz w:val="24"/>
          <w:szCs w:val="24"/>
          <w:lang w:val="en-GB"/>
        </w:rPr>
        <w:t>p</w:t>
      </w:r>
      <w:r>
        <w:rPr>
          <w:sz w:val="24"/>
          <w:szCs w:val="24"/>
          <w:lang w:val="en-GB"/>
        </w:rPr>
        <w:t>plications from a wide range of manufacturers. Until now this possibility had eluded those farms with mixed fleets of agricultural machinery.</w:t>
      </w:r>
    </w:p>
    <w:p w:rsidR="00440703" w:rsidRPr="007F6BFF" w:rsidRDefault="00E20E61" w:rsidP="00634DCE">
      <w:pPr>
        <w:spacing w:after="160" w:line="259" w:lineRule="auto"/>
        <w:jc w:val="both"/>
        <w:rPr>
          <w:rFonts w:eastAsia="Calibri,Times New Roman" w:cs="Calibri,Times New Roman"/>
          <w:sz w:val="24"/>
          <w:szCs w:val="24"/>
          <w:lang w:val="en-GB"/>
        </w:rPr>
      </w:pPr>
      <w:r>
        <w:rPr>
          <w:sz w:val="24"/>
          <w:szCs w:val="24"/>
          <w:lang w:val="en-GB"/>
        </w:rPr>
        <w:t xml:space="preserve">The new </w:t>
      </w:r>
      <w:proofErr w:type="spellStart"/>
      <w:r w:rsidR="005663B8">
        <w:rPr>
          <w:sz w:val="24"/>
          <w:szCs w:val="24"/>
          <w:lang w:val="en-GB"/>
        </w:rPr>
        <w:t>agrirouter</w:t>
      </w:r>
      <w:proofErr w:type="spellEnd"/>
      <w:r>
        <w:rPr>
          <w:sz w:val="24"/>
          <w:szCs w:val="24"/>
          <w:lang w:val="en-GB"/>
        </w:rPr>
        <w:t xml:space="preserve"> simplifies data exchange and operational procedures, thus reducing a</w:t>
      </w:r>
      <w:r>
        <w:rPr>
          <w:sz w:val="24"/>
          <w:szCs w:val="24"/>
          <w:lang w:val="en-GB"/>
        </w:rPr>
        <w:t>d</w:t>
      </w:r>
      <w:r>
        <w:rPr>
          <w:sz w:val="24"/>
          <w:szCs w:val="24"/>
          <w:lang w:val="en-GB"/>
        </w:rPr>
        <w:t xml:space="preserve">ministrative expenses and improving economic efficiency. This provides the farmer with more time to do other things. The whole system is controlled via the Internet. The user sets up his own personal </w:t>
      </w:r>
      <w:bookmarkStart w:id="0" w:name="_Hlk488160747"/>
      <w:proofErr w:type="spellStart"/>
      <w:r w:rsidR="005663B8">
        <w:rPr>
          <w:sz w:val="24"/>
          <w:szCs w:val="24"/>
          <w:lang w:val="en-GB"/>
        </w:rPr>
        <w:t>agrirouter</w:t>
      </w:r>
      <w:proofErr w:type="spellEnd"/>
      <w:r>
        <w:rPr>
          <w:b/>
          <w:bCs/>
          <w:sz w:val="24"/>
          <w:szCs w:val="24"/>
          <w:lang w:val="en-GB"/>
        </w:rPr>
        <w:t xml:space="preserve"> </w:t>
      </w:r>
      <w:bookmarkEnd w:id="0"/>
      <w:r>
        <w:rPr>
          <w:sz w:val="24"/>
          <w:szCs w:val="24"/>
          <w:lang w:val="en-GB"/>
        </w:rPr>
        <w:t xml:space="preserve">and sets rules to determine who can exchange how much data with whom. The </w:t>
      </w:r>
      <w:proofErr w:type="spellStart"/>
      <w:r w:rsidR="005663B8">
        <w:rPr>
          <w:sz w:val="24"/>
          <w:szCs w:val="24"/>
          <w:lang w:val="en-GB"/>
        </w:rPr>
        <w:t>agrirouter</w:t>
      </w:r>
      <w:proofErr w:type="spellEnd"/>
      <w:r>
        <w:rPr>
          <w:sz w:val="24"/>
          <w:szCs w:val="24"/>
          <w:lang w:val="en-GB"/>
        </w:rPr>
        <w:t xml:space="preserve"> user always has a hand on what happens with his data. </w:t>
      </w:r>
    </w:p>
    <w:p w:rsidR="00650AB1" w:rsidRPr="007F6BFF" w:rsidRDefault="00650AB1" w:rsidP="00634DCE">
      <w:pPr>
        <w:spacing w:after="160" w:line="259" w:lineRule="auto"/>
        <w:jc w:val="both"/>
        <w:rPr>
          <w:rFonts w:eastAsia="Calibri,Times New Roman" w:cs="Calibri,Times New Roman"/>
          <w:sz w:val="24"/>
          <w:szCs w:val="24"/>
          <w:lang w:val="en-GB"/>
        </w:rPr>
      </w:pPr>
      <w:r>
        <w:rPr>
          <w:rFonts w:eastAsia="Calibri,Times New Roman" w:cs="Calibri,Times New Roman"/>
          <w:sz w:val="24"/>
          <w:szCs w:val="24"/>
          <w:lang w:val="en-GB"/>
        </w:rPr>
        <w:t xml:space="preserve">The new tool enables farmers and contractors to optimise their agricultural production processes with regard to efficiency, use of operating resources, and energy and labour costs, from the very start until the delivery of the produced raw material or food. In addition, the option also exists to connect </w:t>
      </w:r>
      <w:r w:rsidR="005663B8">
        <w:rPr>
          <w:rFonts w:eastAsia="Calibri,Times New Roman" w:cs="Calibri,Times New Roman"/>
          <w:sz w:val="24"/>
          <w:szCs w:val="24"/>
          <w:lang w:val="en-GB"/>
        </w:rPr>
        <w:t xml:space="preserve">two </w:t>
      </w:r>
      <w:proofErr w:type="spellStart"/>
      <w:r w:rsidR="005663B8">
        <w:rPr>
          <w:rFonts w:eastAsia="Calibri,Times New Roman" w:cs="Calibri,Times New Roman"/>
          <w:sz w:val="24"/>
          <w:szCs w:val="24"/>
          <w:lang w:val="en-GB"/>
        </w:rPr>
        <w:t>agrirouter</w:t>
      </w:r>
      <w:r>
        <w:rPr>
          <w:rFonts w:eastAsia="Calibri,Times New Roman" w:cs="Calibri,Times New Roman"/>
          <w:sz w:val="24"/>
          <w:szCs w:val="24"/>
          <w:lang w:val="en-GB"/>
        </w:rPr>
        <w:t>s</w:t>
      </w:r>
      <w:proofErr w:type="spellEnd"/>
      <w:r>
        <w:rPr>
          <w:rFonts w:eastAsia="Calibri,Times New Roman" w:cs="Calibri,Times New Roman"/>
          <w:sz w:val="24"/>
          <w:szCs w:val="24"/>
          <w:lang w:val="en-GB"/>
        </w:rPr>
        <w:t xml:space="preserve"> temporarily or permanently for the purposes of exchanging specific data and process optimisation.</w:t>
      </w:r>
    </w:p>
    <w:p w:rsidR="0050780E" w:rsidRPr="007F6BFF" w:rsidRDefault="00440703" w:rsidP="00634DCE">
      <w:pPr>
        <w:spacing w:after="160" w:line="259" w:lineRule="auto"/>
        <w:jc w:val="both"/>
        <w:rPr>
          <w:rFonts w:eastAsia="Calibri,Times New Roman" w:cs="Calibri,Times New Roman"/>
          <w:sz w:val="24"/>
          <w:szCs w:val="24"/>
          <w:lang w:val="en-GB"/>
        </w:rPr>
      </w:pPr>
      <w:r>
        <w:rPr>
          <w:rFonts w:eastAsia="Calibri,Times New Roman" w:cs="Calibri,Times New Roman"/>
          <w:sz w:val="24"/>
          <w:szCs w:val="24"/>
          <w:lang w:val="en-GB"/>
        </w:rPr>
        <w:t xml:space="preserve">Many transfers can be automated in the daily workflow. Handling is also facilitated by a one-time setting of basic parameters which can be altered at any time. The entire data transfer is secure and takes place via a rapid network. All activities comply with current data protection guidelines, or even surpass them considerably when it comes to security concerns. Never forget: The </w:t>
      </w:r>
      <w:proofErr w:type="spellStart"/>
      <w:r w:rsidR="005663B8">
        <w:rPr>
          <w:rFonts w:eastAsia="Calibri,Times New Roman" w:cs="Calibri,Times New Roman"/>
          <w:sz w:val="24"/>
          <w:szCs w:val="24"/>
          <w:lang w:val="en-GB"/>
        </w:rPr>
        <w:t>agrirouter</w:t>
      </w:r>
      <w:proofErr w:type="spellEnd"/>
      <w:r>
        <w:rPr>
          <w:rFonts w:eastAsia="Calibri,Times New Roman" w:cs="Calibri,Times New Roman"/>
          <w:sz w:val="24"/>
          <w:szCs w:val="24"/>
          <w:lang w:val="en-GB"/>
        </w:rPr>
        <w:t xml:space="preserve"> transports data, but does not store it permanently.</w:t>
      </w:r>
    </w:p>
    <w:p w:rsidR="00E20E61" w:rsidRPr="007F6BFF" w:rsidRDefault="0059714C" w:rsidP="00634DCE">
      <w:pPr>
        <w:spacing w:after="160" w:line="259" w:lineRule="auto"/>
        <w:jc w:val="both"/>
        <w:rPr>
          <w:rFonts w:eastAsia="Calibri,Times New Roman" w:cs="Calibri,Times New Roman"/>
          <w:sz w:val="24"/>
          <w:szCs w:val="24"/>
          <w:lang w:val="en-GB"/>
        </w:rPr>
      </w:pPr>
      <w:r>
        <w:rPr>
          <w:rFonts w:eastAsia="Calibri,Times New Roman" w:cs="Calibri,Times New Roman"/>
          <w:sz w:val="24"/>
          <w:szCs w:val="24"/>
          <w:lang w:val="en-GB"/>
        </w:rPr>
        <w:t xml:space="preserve">The </w:t>
      </w:r>
      <w:proofErr w:type="spellStart"/>
      <w:r w:rsidR="005663B8">
        <w:rPr>
          <w:rFonts w:eastAsia="Calibri,Times New Roman" w:cs="Calibri,Times New Roman"/>
          <w:sz w:val="24"/>
          <w:szCs w:val="24"/>
          <w:lang w:val="en-GB"/>
        </w:rPr>
        <w:t>agrirouter</w:t>
      </w:r>
      <w:proofErr w:type="spellEnd"/>
      <w:r>
        <w:rPr>
          <w:rFonts w:eastAsia="Calibri,Times New Roman" w:cs="Calibri,Times New Roman"/>
          <w:sz w:val="24"/>
          <w:szCs w:val="24"/>
          <w:lang w:val="en-GB"/>
        </w:rPr>
        <w:t xml:space="preserve"> can be used with any Internet capable device. Connection of your own m</w:t>
      </w:r>
      <w:r>
        <w:rPr>
          <w:rFonts w:eastAsia="Calibri,Times New Roman" w:cs="Calibri,Times New Roman"/>
          <w:sz w:val="24"/>
          <w:szCs w:val="24"/>
          <w:lang w:val="en-GB"/>
        </w:rPr>
        <w:t>a</w:t>
      </w:r>
      <w:r>
        <w:rPr>
          <w:rFonts w:eastAsia="Calibri,Times New Roman" w:cs="Calibri,Times New Roman"/>
          <w:sz w:val="24"/>
          <w:szCs w:val="24"/>
          <w:lang w:val="en-GB"/>
        </w:rPr>
        <w:t xml:space="preserve">chinery to the </w:t>
      </w:r>
      <w:proofErr w:type="spellStart"/>
      <w:r w:rsidR="005663B8">
        <w:rPr>
          <w:rFonts w:eastAsia="Calibri,Times New Roman" w:cs="Calibri,Times New Roman"/>
          <w:sz w:val="24"/>
          <w:szCs w:val="24"/>
          <w:lang w:val="en-GB"/>
        </w:rPr>
        <w:t>agrirouter</w:t>
      </w:r>
      <w:proofErr w:type="spellEnd"/>
      <w:r>
        <w:rPr>
          <w:rFonts w:eastAsia="Calibri,Times New Roman" w:cs="Calibri,Times New Roman"/>
          <w:sz w:val="24"/>
          <w:szCs w:val="24"/>
          <w:lang w:val="en-GB"/>
        </w:rPr>
        <w:t xml:space="preserve"> occurs via communication units (telemetry boxes), which can also be provided to equip older fleet machinery. The communication units that are available as well as the agricultural software applications that can be used are listed in a publicly vie</w:t>
      </w:r>
      <w:r>
        <w:rPr>
          <w:rFonts w:eastAsia="Calibri,Times New Roman" w:cs="Calibri,Times New Roman"/>
          <w:sz w:val="24"/>
          <w:szCs w:val="24"/>
          <w:lang w:val="en-GB"/>
        </w:rPr>
        <w:t>w</w:t>
      </w:r>
      <w:r>
        <w:rPr>
          <w:rFonts w:eastAsia="Calibri,Times New Roman" w:cs="Calibri,Times New Roman"/>
          <w:sz w:val="24"/>
          <w:szCs w:val="24"/>
          <w:lang w:val="en-GB"/>
        </w:rPr>
        <w:t>able marketplace.</w:t>
      </w:r>
    </w:p>
    <w:p w:rsidR="00D365B7" w:rsidRPr="007F6BFF" w:rsidRDefault="00D365B7" w:rsidP="00650AB1">
      <w:pPr>
        <w:rPr>
          <w:rFonts w:eastAsia="Calibri,Times New Roman" w:cs="Calibri,Times New Roman"/>
          <w:b/>
          <w:sz w:val="24"/>
          <w:szCs w:val="24"/>
          <w:lang w:val="en-GB"/>
        </w:rPr>
      </w:pPr>
    </w:p>
    <w:p w:rsidR="002F7EDF" w:rsidRPr="007F6BFF" w:rsidRDefault="002F7EDF" w:rsidP="00650AB1">
      <w:pPr>
        <w:rPr>
          <w:rFonts w:eastAsia="Calibri,Times New Roman" w:cs="Calibri,Times New Roman"/>
          <w:b/>
          <w:sz w:val="24"/>
          <w:szCs w:val="24"/>
          <w:lang w:val="en-GB"/>
        </w:rPr>
      </w:pPr>
    </w:p>
    <w:p w:rsidR="002F7EDF" w:rsidRPr="007F6BFF" w:rsidRDefault="002F7EDF" w:rsidP="00650AB1">
      <w:pPr>
        <w:rPr>
          <w:rFonts w:eastAsia="Calibri,Times New Roman" w:cs="Calibri,Times New Roman"/>
          <w:b/>
          <w:sz w:val="24"/>
          <w:szCs w:val="24"/>
          <w:lang w:val="en-GB"/>
        </w:rPr>
      </w:pPr>
    </w:p>
    <w:p w:rsidR="006715D8" w:rsidRDefault="006715D8" w:rsidP="00650AB1">
      <w:pPr>
        <w:rPr>
          <w:rFonts w:eastAsia="Calibri,Times New Roman" w:cs="Calibri,Times New Roman"/>
          <w:b/>
          <w:bCs/>
          <w:sz w:val="24"/>
          <w:szCs w:val="24"/>
          <w:lang w:val="en-GB"/>
        </w:rPr>
      </w:pPr>
    </w:p>
    <w:p w:rsidR="00634DCE" w:rsidRPr="007F6BFF" w:rsidRDefault="00626A3E" w:rsidP="00650AB1">
      <w:pPr>
        <w:rPr>
          <w:rFonts w:eastAsia="Calibri,Times New Roman" w:cs="Calibri,Times New Roman"/>
          <w:b/>
          <w:sz w:val="24"/>
          <w:szCs w:val="24"/>
          <w:lang w:val="en-GB"/>
        </w:rPr>
      </w:pPr>
      <w:r>
        <w:rPr>
          <w:rFonts w:eastAsia="Calibri,Times New Roman" w:cs="Calibri,Times New Roman"/>
          <w:b/>
          <w:bCs/>
          <w:sz w:val="24"/>
          <w:szCs w:val="24"/>
          <w:lang w:val="en-GB"/>
        </w:rPr>
        <w:lastRenderedPageBreak/>
        <w:t>Sign-up is free – low usage costs</w:t>
      </w:r>
    </w:p>
    <w:p w:rsidR="000D5514" w:rsidRPr="007F6BFF" w:rsidRDefault="00853A1B" w:rsidP="00634DCE">
      <w:pPr>
        <w:spacing w:after="160" w:line="259" w:lineRule="auto"/>
        <w:jc w:val="both"/>
        <w:rPr>
          <w:rFonts w:eastAsia="Calibri,Times New Roman" w:cs="Calibri,Times New Roman"/>
          <w:sz w:val="24"/>
          <w:szCs w:val="24"/>
          <w:lang w:val="en-GB"/>
        </w:rPr>
      </w:pPr>
      <w:r>
        <w:rPr>
          <w:rFonts w:eastAsia="Calibri,Times New Roman" w:cs="Calibri,Times New Roman"/>
          <w:sz w:val="24"/>
          <w:szCs w:val="24"/>
          <w:lang w:val="en-GB"/>
        </w:rPr>
        <w:t xml:space="preserve">The usage fees for the data transfer via the </w:t>
      </w:r>
      <w:proofErr w:type="spellStart"/>
      <w:r w:rsidR="005663B8">
        <w:rPr>
          <w:rFonts w:eastAsia="Calibri,Times New Roman" w:cs="Calibri,Times New Roman"/>
          <w:sz w:val="24"/>
          <w:szCs w:val="24"/>
          <w:lang w:val="en-GB"/>
        </w:rPr>
        <w:t>agrirouter</w:t>
      </w:r>
      <w:proofErr w:type="spellEnd"/>
      <w:r>
        <w:rPr>
          <w:rFonts w:eastAsia="Calibri,Times New Roman" w:cs="Calibri,Times New Roman"/>
          <w:sz w:val="24"/>
          <w:szCs w:val="24"/>
          <w:lang w:val="en-GB"/>
        </w:rPr>
        <w:t xml:space="preserve"> are low, since DKE-Data GmbH &amp; Co. KG operates as a non-profit company. The fees are charged to the user by his/her agricu</w:t>
      </w:r>
      <w:r>
        <w:rPr>
          <w:rFonts w:eastAsia="Calibri,Times New Roman" w:cs="Calibri,Times New Roman"/>
          <w:sz w:val="24"/>
          <w:szCs w:val="24"/>
          <w:lang w:val="en-GB"/>
        </w:rPr>
        <w:t>l</w:t>
      </w:r>
      <w:r>
        <w:rPr>
          <w:rFonts w:eastAsia="Calibri,Times New Roman" w:cs="Calibri,Times New Roman"/>
          <w:sz w:val="24"/>
          <w:szCs w:val="24"/>
          <w:lang w:val="en-GB"/>
        </w:rPr>
        <w:t xml:space="preserve">tural software provider. In addition, mobile phone fees are incurred for the transfer of data between machinery and the </w:t>
      </w:r>
      <w:proofErr w:type="spellStart"/>
      <w:r w:rsidR="005663B8">
        <w:rPr>
          <w:rFonts w:eastAsia="Calibri,Times New Roman" w:cs="Calibri,Times New Roman"/>
          <w:sz w:val="24"/>
          <w:szCs w:val="24"/>
          <w:lang w:val="en-GB"/>
        </w:rPr>
        <w:t>agrirouter</w:t>
      </w:r>
      <w:proofErr w:type="spellEnd"/>
      <w:r>
        <w:rPr>
          <w:rFonts w:eastAsia="Calibri,Times New Roman" w:cs="Calibri,Times New Roman"/>
          <w:sz w:val="24"/>
          <w:szCs w:val="24"/>
          <w:lang w:val="en-GB"/>
        </w:rPr>
        <w:t>.</w:t>
      </w:r>
    </w:p>
    <w:p w:rsidR="00162D0A" w:rsidRDefault="00650AB1" w:rsidP="00634DCE">
      <w:pPr>
        <w:spacing w:after="160" w:line="259" w:lineRule="auto"/>
        <w:jc w:val="both"/>
        <w:rPr>
          <w:sz w:val="24"/>
          <w:szCs w:val="24"/>
          <w:lang w:val="en-GB"/>
        </w:rPr>
      </w:pPr>
      <w:r>
        <w:rPr>
          <w:sz w:val="24"/>
          <w:szCs w:val="24"/>
          <w:lang w:val="en-GB"/>
        </w:rPr>
        <w:t xml:space="preserve">In the future, </w:t>
      </w:r>
      <w:proofErr w:type="spellStart"/>
      <w:r w:rsidR="005663B8">
        <w:rPr>
          <w:sz w:val="24"/>
          <w:szCs w:val="24"/>
          <w:lang w:val="en-GB"/>
        </w:rPr>
        <w:t>agrirouter</w:t>
      </w:r>
      <w:proofErr w:type="spellEnd"/>
      <w:r>
        <w:rPr>
          <w:sz w:val="24"/>
          <w:szCs w:val="24"/>
          <w:lang w:val="en-GB"/>
        </w:rPr>
        <w:t xml:space="preserve"> users will be able to register themselves free of charge before se</w:t>
      </w:r>
      <w:r>
        <w:rPr>
          <w:sz w:val="24"/>
          <w:szCs w:val="24"/>
          <w:lang w:val="en-GB"/>
        </w:rPr>
        <w:t>t</w:t>
      </w:r>
      <w:r>
        <w:rPr>
          <w:sz w:val="24"/>
          <w:szCs w:val="24"/>
          <w:lang w:val="en-GB"/>
        </w:rPr>
        <w:t xml:space="preserve">ting up their personal </w:t>
      </w:r>
      <w:proofErr w:type="spellStart"/>
      <w:r w:rsidR="005663B8">
        <w:rPr>
          <w:sz w:val="24"/>
          <w:szCs w:val="24"/>
          <w:lang w:val="en-GB"/>
        </w:rPr>
        <w:t>agrirouter</w:t>
      </w:r>
      <w:proofErr w:type="spellEnd"/>
      <w:r>
        <w:rPr>
          <w:sz w:val="24"/>
          <w:szCs w:val="24"/>
          <w:lang w:val="en-GB"/>
        </w:rPr>
        <w:t xml:space="preserve"> on their PC, tablet or smartphone by connecting their m</w:t>
      </w:r>
      <w:r>
        <w:rPr>
          <w:sz w:val="24"/>
          <w:szCs w:val="24"/>
          <w:lang w:val="en-GB"/>
        </w:rPr>
        <w:t>a</w:t>
      </w:r>
      <w:r>
        <w:rPr>
          <w:sz w:val="24"/>
          <w:szCs w:val="24"/>
          <w:lang w:val="en-GB"/>
        </w:rPr>
        <w:t>chinery and their software. The official start of operations will be in spring 2018.</w:t>
      </w:r>
    </w:p>
    <w:p w:rsidR="00170045" w:rsidRDefault="007549B9" w:rsidP="00170045">
      <w:pPr>
        <w:spacing w:after="160" w:line="259" w:lineRule="auto"/>
        <w:jc w:val="center"/>
        <w:rPr>
          <w:rFonts w:eastAsia="Calibri" w:cs="Times New Roman"/>
          <w:i/>
          <w:iCs/>
          <w:sz w:val="24"/>
          <w:szCs w:val="24"/>
          <w:lang w:val="en-GB"/>
        </w:rPr>
      </w:pPr>
      <w:r>
        <w:rPr>
          <w:rFonts w:eastAsia="Calibri" w:cs="Times New Roman"/>
          <w:noProof/>
          <w:sz w:val="24"/>
          <w:szCs w:val="24"/>
          <w:lang w:eastAsia="de-DE"/>
        </w:rPr>
        <w:drawing>
          <wp:inline distT="0" distB="0" distL="0" distR="0">
            <wp:extent cx="5400000" cy="4014577"/>
            <wp:effectExtent l="0" t="0" r="0" b="5080"/>
            <wp:docPr id="1" name="Grafik 1" descr="C:\Users\DKE_Sonnen\AppData\Local\Microsoft\Windows\INetCache\Content.Word\agrirouter-grafik-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E_Sonnen\AppData\Local\Microsoft\Windows\INetCache\Content.Word\agrirouter-grafik-1920x1080.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804" r="11479"/>
                    <a:stretch/>
                  </pic:blipFill>
                  <pic:spPr bwMode="auto">
                    <a:xfrm>
                      <a:off x="0" y="0"/>
                      <a:ext cx="5400000" cy="401457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bookmarkStart w:id="1" w:name="_GoBack"/>
      <w:bookmarkEnd w:id="1"/>
    </w:p>
    <w:p w:rsidR="00162D0A" w:rsidRPr="007F6BFF" w:rsidRDefault="00162D0A" w:rsidP="00170045">
      <w:pPr>
        <w:spacing w:after="160" w:line="259" w:lineRule="auto"/>
        <w:rPr>
          <w:rFonts w:eastAsia="Calibri" w:cs="Times New Roman"/>
          <w:i/>
          <w:sz w:val="24"/>
          <w:szCs w:val="24"/>
          <w:lang w:val="en-GB"/>
        </w:rPr>
      </w:pPr>
      <w:r>
        <w:rPr>
          <w:rFonts w:eastAsia="Calibri" w:cs="Times New Roman"/>
          <w:i/>
          <w:iCs/>
          <w:sz w:val="24"/>
          <w:szCs w:val="24"/>
          <w:lang w:val="en-GB"/>
        </w:rPr>
        <w:t>The open approach also allows other market players (e.g. producers of farming resources, agricultural trade, etc.) to make their digital products available in the marketplace.</w:t>
      </w:r>
    </w:p>
    <w:p w:rsidR="0079232E" w:rsidRPr="00162D0A" w:rsidRDefault="0079232E" w:rsidP="00634DCE">
      <w:pPr>
        <w:spacing w:after="160" w:line="259" w:lineRule="auto"/>
        <w:jc w:val="both"/>
        <w:rPr>
          <w:rFonts w:eastAsia="Calibri,Times New Roman" w:cs="Calibri,Times New Roman"/>
          <w:sz w:val="24"/>
          <w:szCs w:val="24"/>
          <w:lang w:val="en-GB"/>
        </w:rPr>
      </w:pPr>
    </w:p>
    <w:p w:rsidR="00634DCE" w:rsidRPr="007F6BFF" w:rsidRDefault="00737B11" w:rsidP="00634DCE">
      <w:pPr>
        <w:spacing w:after="160" w:line="259" w:lineRule="auto"/>
        <w:jc w:val="both"/>
        <w:rPr>
          <w:rFonts w:eastAsia="Calibri,Times New Roman" w:cs="Calibri,Times New Roman"/>
          <w:b/>
          <w:sz w:val="24"/>
          <w:szCs w:val="24"/>
          <w:lang w:val="en-GB"/>
        </w:rPr>
      </w:pPr>
      <w:r>
        <w:rPr>
          <w:rFonts w:eastAsia="Calibri,Times New Roman" w:cs="Calibri,Times New Roman"/>
          <w:b/>
          <w:bCs/>
          <w:sz w:val="24"/>
          <w:szCs w:val="24"/>
          <w:lang w:val="en-GB"/>
        </w:rPr>
        <w:t>Strong basis – strong developer</w:t>
      </w:r>
    </w:p>
    <w:p w:rsidR="00BC3CEF" w:rsidRPr="007F6BFF" w:rsidRDefault="00737B11" w:rsidP="00634DCE">
      <w:pPr>
        <w:spacing w:after="160" w:line="259" w:lineRule="auto"/>
        <w:jc w:val="both"/>
        <w:rPr>
          <w:rFonts w:eastAsia="Calibri,Times New Roman" w:cs="Calibri,Times New Roman"/>
          <w:sz w:val="24"/>
          <w:szCs w:val="24"/>
          <w:lang w:val="en-GB"/>
        </w:rPr>
      </w:pPr>
      <w:r>
        <w:rPr>
          <w:rFonts w:eastAsia="Calibri,Times New Roman" w:cs="Calibri,Times New Roman"/>
          <w:sz w:val="24"/>
          <w:szCs w:val="24"/>
          <w:lang w:val="en-GB"/>
        </w:rPr>
        <w:t>This project is supported by a consortium of renowned agricultural engineering companies who are also open for other members to join, and who have jointly recognised that farming 4.0 will only work if a manufacturer-independent and as such non-discriminatory exchange of data is made possible. Currently the consortium includes (in alphabetical order) AGCO, AMAZONE, DEUTZ-FAHR, GRIMME, HORSCH, KRONE, KUHN, LEMKEN, PÖTTINGER, RAUCH. Irrespective of their size, every member of the consortium has a single vote.</w:t>
      </w:r>
    </w:p>
    <w:p w:rsidR="00853A1B" w:rsidRDefault="00737B11" w:rsidP="00634DCE">
      <w:pPr>
        <w:spacing w:after="160" w:line="259" w:lineRule="auto"/>
        <w:jc w:val="both"/>
        <w:rPr>
          <w:sz w:val="24"/>
          <w:szCs w:val="24"/>
          <w:lang w:val="en-GB"/>
        </w:rPr>
      </w:pPr>
      <w:r>
        <w:rPr>
          <w:sz w:val="24"/>
          <w:szCs w:val="24"/>
          <w:lang w:val="en-GB"/>
        </w:rPr>
        <w:t xml:space="preserve">The software supplier for the </w:t>
      </w:r>
      <w:proofErr w:type="spellStart"/>
      <w:r w:rsidR="005663B8">
        <w:rPr>
          <w:sz w:val="24"/>
          <w:szCs w:val="24"/>
          <w:lang w:val="en-GB"/>
        </w:rPr>
        <w:t>agrirouter</w:t>
      </w:r>
      <w:proofErr w:type="spellEnd"/>
      <w:r>
        <w:rPr>
          <w:sz w:val="24"/>
          <w:szCs w:val="24"/>
          <w:lang w:val="en-GB"/>
        </w:rPr>
        <w:t xml:space="preserve"> is SAP. This globally operating company can guara</w:t>
      </w:r>
      <w:r>
        <w:rPr>
          <w:sz w:val="24"/>
          <w:szCs w:val="24"/>
          <w:lang w:val="en-GB"/>
        </w:rPr>
        <w:t>n</w:t>
      </w:r>
      <w:r>
        <w:rPr>
          <w:sz w:val="24"/>
          <w:szCs w:val="24"/>
          <w:lang w:val="en-GB"/>
        </w:rPr>
        <w:t xml:space="preserve">tee its reliable operation as well as an international usage of the </w:t>
      </w:r>
      <w:proofErr w:type="spellStart"/>
      <w:r w:rsidR="005663B8">
        <w:rPr>
          <w:sz w:val="24"/>
          <w:szCs w:val="24"/>
          <w:lang w:val="en-GB"/>
        </w:rPr>
        <w:t>agrirouter</w:t>
      </w:r>
      <w:proofErr w:type="spellEnd"/>
      <w:r>
        <w:rPr>
          <w:sz w:val="24"/>
          <w:szCs w:val="24"/>
          <w:lang w:val="en-GB"/>
        </w:rPr>
        <w:t>. The open a</w:t>
      </w:r>
      <w:r>
        <w:rPr>
          <w:sz w:val="24"/>
          <w:szCs w:val="24"/>
          <w:lang w:val="en-GB"/>
        </w:rPr>
        <w:t>p</w:t>
      </w:r>
      <w:r>
        <w:rPr>
          <w:sz w:val="24"/>
          <w:szCs w:val="24"/>
          <w:lang w:val="en-GB"/>
        </w:rPr>
        <w:t xml:space="preserve">proach also allows other market players (e.g. producers of farming resources, agricultural </w:t>
      </w:r>
      <w:r>
        <w:rPr>
          <w:sz w:val="24"/>
          <w:szCs w:val="24"/>
          <w:lang w:val="en-GB"/>
        </w:rPr>
        <w:lastRenderedPageBreak/>
        <w:t>trade, etc.) to make their digital products available in the marketplace for the purposes of optimising agricultural production processes.</w:t>
      </w:r>
    </w:p>
    <w:p w:rsidR="00170045" w:rsidRDefault="00162D0A" w:rsidP="00170045">
      <w:pPr>
        <w:spacing w:after="160" w:line="259" w:lineRule="auto"/>
        <w:jc w:val="center"/>
        <w:rPr>
          <w:rFonts w:eastAsia="Calibri" w:cs="Times New Roman"/>
          <w:i/>
          <w:iCs/>
          <w:sz w:val="24"/>
          <w:szCs w:val="24"/>
          <w:lang w:val="en-GB"/>
        </w:rPr>
      </w:pPr>
      <w:r>
        <w:rPr>
          <w:rFonts w:eastAsia="Calibri,Times New Roman" w:cs="Calibri,Times New Roman"/>
          <w:b/>
          <w:noProof/>
          <w:sz w:val="24"/>
          <w:szCs w:val="24"/>
          <w:lang w:eastAsia="de-DE"/>
        </w:rPr>
        <w:drawing>
          <wp:inline distT="0" distB="0" distL="0" distR="0">
            <wp:extent cx="5400000" cy="3820528"/>
            <wp:effectExtent l="0" t="0" r="0" b="8890"/>
            <wp:docPr id="2" name="Grafik 2" descr="C:\Users\DKE_Sonnen\AppData\Local\Microsoft\Windows\INetCache\Content.Word\agrirouter-grafi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E_Sonnen\AppData\Local\Microsoft\Windows\INetCache\Content.Word\agrirouter-grafik-A4.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0" cy="3820528"/>
                    </a:xfrm>
                    <a:prstGeom prst="rect">
                      <a:avLst/>
                    </a:prstGeom>
                    <a:noFill/>
                    <a:ln>
                      <a:noFill/>
                    </a:ln>
                  </pic:spPr>
                </pic:pic>
              </a:graphicData>
            </a:graphic>
          </wp:inline>
        </w:drawing>
      </w:r>
    </w:p>
    <w:p w:rsidR="00162D0A" w:rsidRPr="00BC3CEF" w:rsidRDefault="00162D0A" w:rsidP="00170045">
      <w:pPr>
        <w:spacing w:after="160" w:line="259" w:lineRule="auto"/>
        <w:rPr>
          <w:sz w:val="24"/>
          <w:szCs w:val="24"/>
          <w:lang w:val="en-US"/>
        </w:rPr>
      </w:pPr>
      <w:r>
        <w:rPr>
          <w:rFonts w:eastAsia="Calibri" w:cs="Times New Roman"/>
          <w:i/>
          <w:iCs/>
          <w:sz w:val="24"/>
          <w:szCs w:val="24"/>
          <w:lang w:val="en-GB"/>
        </w:rPr>
        <w:t xml:space="preserve">The user sets up his own personal </w:t>
      </w:r>
      <w:proofErr w:type="spellStart"/>
      <w:r>
        <w:rPr>
          <w:rFonts w:eastAsia="Calibri" w:cs="Times New Roman"/>
          <w:i/>
          <w:iCs/>
          <w:sz w:val="24"/>
          <w:szCs w:val="24"/>
          <w:lang w:val="en-GB"/>
        </w:rPr>
        <w:t>agrirouter</w:t>
      </w:r>
      <w:proofErr w:type="spellEnd"/>
      <w:r>
        <w:rPr>
          <w:rFonts w:eastAsia="Calibri" w:cs="Times New Roman"/>
          <w:i/>
          <w:iCs/>
          <w:sz w:val="24"/>
          <w:szCs w:val="24"/>
          <w:lang w:val="en-GB"/>
        </w:rPr>
        <w:t xml:space="preserve"> and sets rules to determine who can exchange how much data with whom. The </w:t>
      </w:r>
      <w:proofErr w:type="spellStart"/>
      <w:r>
        <w:rPr>
          <w:rFonts w:eastAsia="Calibri" w:cs="Times New Roman"/>
          <w:i/>
          <w:iCs/>
          <w:sz w:val="24"/>
          <w:szCs w:val="24"/>
          <w:lang w:val="en-GB"/>
        </w:rPr>
        <w:t>agrirouter</w:t>
      </w:r>
      <w:proofErr w:type="spellEnd"/>
      <w:r>
        <w:rPr>
          <w:rFonts w:eastAsia="Calibri" w:cs="Times New Roman"/>
          <w:i/>
          <w:iCs/>
          <w:sz w:val="24"/>
          <w:szCs w:val="24"/>
          <w:lang w:val="en-GB"/>
        </w:rPr>
        <w:t xml:space="preserve"> user always has a hand on what happens with his data.</w:t>
      </w:r>
    </w:p>
    <w:p w:rsidR="0079232E" w:rsidRPr="00162D0A" w:rsidRDefault="0079232E" w:rsidP="00634DCE">
      <w:pPr>
        <w:spacing w:after="160" w:line="259" w:lineRule="auto"/>
        <w:jc w:val="both"/>
        <w:rPr>
          <w:rFonts w:eastAsia="Calibri" w:cs="Times New Roman"/>
          <w:sz w:val="24"/>
          <w:szCs w:val="24"/>
          <w:lang w:val="en-GB"/>
        </w:rPr>
      </w:pPr>
    </w:p>
    <w:p w:rsidR="00D365B7" w:rsidRDefault="00650AB1" w:rsidP="00BC3CEF">
      <w:pPr>
        <w:spacing w:after="160" w:line="259" w:lineRule="auto"/>
        <w:rPr>
          <w:rFonts w:eastAsia="Calibri,Times New Roman" w:cs="Calibri,Times New Roman"/>
          <w:sz w:val="24"/>
          <w:szCs w:val="24"/>
        </w:rPr>
      </w:pPr>
      <w:r>
        <w:rPr>
          <w:rFonts w:eastAsia="Calibri,Times New Roman" w:cs="Calibri,Times New Roman"/>
          <w:b/>
          <w:bCs/>
          <w:sz w:val="24"/>
          <w:szCs w:val="24"/>
          <w:lang w:val="en-GB"/>
        </w:rPr>
        <w:t>Contact:</w:t>
      </w:r>
      <w:r>
        <w:rPr>
          <w:rFonts w:eastAsia="Calibri,Times New Roman" w:cs="Calibri,Times New Roman"/>
          <w:sz w:val="24"/>
          <w:szCs w:val="24"/>
          <w:lang w:val="en-GB"/>
        </w:rPr>
        <w:br/>
        <w:t xml:space="preserve">DKE-Data GmbH &amp; Co. </w:t>
      </w:r>
      <w:r w:rsidRPr="00144BF1">
        <w:rPr>
          <w:rFonts w:eastAsia="Calibri,Times New Roman" w:cs="Calibri,Times New Roman"/>
          <w:sz w:val="24"/>
          <w:szCs w:val="24"/>
        </w:rPr>
        <w:t>KG</w:t>
      </w:r>
      <w:r w:rsidRPr="00144BF1">
        <w:rPr>
          <w:rFonts w:eastAsia="Calibri,Times New Roman" w:cs="Calibri,Times New Roman"/>
          <w:sz w:val="24"/>
          <w:szCs w:val="24"/>
        </w:rPr>
        <w:br/>
        <w:t>Dr</w:t>
      </w:r>
      <w:r w:rsidR="00C60D25">
        <w:rPr>
          <w:rFonts w:eastAsia="Calibri,Times New Roman" w:cs="Calibri,Times New Roman"/>
          <w:sz w:val="24"/>
          <w:szCs w:val="24"/>
        </w:rPr>
        <w:t>.</w:t>
      </w:r>
      <w:r w:rsidRPr="00144BF1">
        <w:rPr>
          <w:rFonts w:eastAsia="Calibri,Times New Roman" w:cs="Calibri,Times New Roman"/>
          <w:sz w:val="24"/>
          <w:szCs w:val="24"/>
        </w:rPr>
        <w:t xml:space="preserve"> Jens Möller</w:t>
      </w:r>
      <w:r w:rsidR="00C60D25">
        <w:rPr>
          <w:rFonts w:eastAsia="Calibri,Times New Roman" w:cs="Calibri,Times New Roman"/>
          <w:sz w:val="24"/>
          <w:szCs w:val="24"/>
        </w:rPr>
        <w:t xml:space="preserve"> </w:t>
      </w:r>
      <w:r w:rsidRPr="00144BF1">
        <w:rPr>
          <w:rFonts w:eastAsia="Calibri,Times New Roman" w:cs="Calibri,Times New Roman"/>
          <w:sz w:val="24"/>
          <w:szCs w:val="24"/>
        </w:rPr>
        <w:t>/</w:t>
      </w:r>
      <w:r w:rsidR="00C60D25">
        <w:rPr>
          <w:rFonts w:eastAsia="Calibri,Times New Roman" w:cs="Calibri,Times New Roman"/>
          <w:sz w:val="24"/>
          <w:szCs w:val="24"/>
        </w:rPr>
        <w:t xml:space="preserve"> </w:t>
      </w:r>
      <w:r w:rsidRPr="00144BF1">
        <w:rPr>
          <w:rFonts w:eastAsia="Calibri,Times New Roman" w:cs="Calibri,Times New Roman"/>
          <w:sz w:val="24"/>
          <w:szCs w:val="24"/>
        </w:rPr>
        <w:t>Dr</w:t>
      </w:r>
      <w:r w:rsidR="00C60D25">
        <w:rPr>
          <w:rFonts w:eastAsia="Calibri,Times New Roman" w:cs="Calibri,Times New Roman"/>
          <w:sz w:val="24"/>
          <w:szCs w:val="24"/>
        </w:rPr>
        <w:t>.</w:t>
      </w:r>
      <w:r w:rsidRPr="00144BF1">
        <w:rPr>
          <w:rFonts w:eastAsia="Calibri,Times New Roman" w:cs="Calibri,Times New Roman"/>
          <w:sz w:val="24"/>
          <w:szCs w:val="24"/>
        </w:rPr>
        <w:t xml:space="preserve"> Johannes Sonnen</w:t>
      </w:r>
      <w:r w:rsidRPr="00144BF1">
        <w:rPr>
          <w:rFonts w:eastAsia="Calibri,Times New Roman" w:cs="Calibri,Times New Roman"/>
          <w:sz w:val="24"/>
          <w:szCs w:val="24"/>
        </w:rPr>
        <w:br/>
        <w:t>Albert-Einstein-Str. 1</w:t>
      </w:r>
      <w:r w:rsidRPr="00144BF1">
        <w:rPr>
          <w:rFonts w:eastAsia="Calibri,Times New Roman" w:cs="Calibri,Times New Roman"/>
          <w:sz w:val="24"/>
          <w:szCs w:val="24"/>
        </w:rPr>
        <w:br/>
        <w:t>49076 Osnabrück</w:t>
      </w:r>
      <w:r w:rsidR="006715D8">
        <w:rPr>
          <w:rFonts w:eastAsia="Calibri,Times New Roman" w:cs="Calibri,Times New Roman"/>
          <w:sz w:val="24"/>
          <w:szCs w:val="24"/>
        </w:rPr>
        <w:br/>
        <w:t xml:space="preserve">Germany </w:t>
      </w:r>
      <w:r w:rsidR="006715D8">
        <w:rPr>
          <w:rFonts w:eastAsia="Calibri,Times New Roman" w:cs="Calibri,Times New Roman"/>
          <w:sz w:val="24"/>
          <w:szCs w:val="24"/>
        </w:rPr>
        <w:br/>
        <w:t>Email: press</w:t>
      </w:r>
      <w:r w:rsidRPr="00144BF1">
        <w:rPr>
          <w:rFonts w:eastAsia="Calibri,Times New Roman" w:cs="Calibri,Times New Roman"/>
          <w:sz w:val="24"/>
          <w:szCs w:val="24"/>
        </w:rPr>
        <w:t>@dke-data.com</w:t>
      </w:r>
      <w:r w:rsidRPr="00144BF1">
        <w:rPr>
          <w:rFonts w:eastAsia="Calibri,Times New Roman" w:cs="Calibri,Times New Roman"/>
          <w:sz w:val="24"/>
          <w:szCs w:val="24"/>
        </w:rPr>
        <w:br/>
        <w:t>www.dke-data.com</w:t>
      </w:r>
      <w:r w:rsidRPr="00144BF1">
        <w:rPr>
          <w:rFonts w:eastAsia="Calibri,Times New Roman" w:cs="Calibri,Times New Roman"/>
          <w:sz w:val="24"/>
          <w:szCs w:val="24"/>
        </w:rPr>
        <w:br/>
      </w:r>
      <w:bookmarkStart w:id="2" w:name="_Hlk488653307"/>
      <w:r w:rsidRPr="00144BF1">
        <w:rPr>
          <w:rFonts w:eastAsia="Calibri,Times New Roman" w:cs="Calibri,Times New Roman"/>
          <w:sz w:val="24"/>
          <w:szCs w:val="24"/>
        </w:rPr>
        <w:t>Tel.: Jens Möller</w:t>
      </w:r>
      <w:r w:rsidRPr="00144BF1">
        <w:rPr>
          <w:rFonts w:eastAsia="Calibri,Times New Roman" w:cs="Calibri,Times New Roman"/>
          <w:sz w:val="24"/>
          <w:szCs w:val="24"/>
        </w:rPr>
        <w:tab/>
        <w:t xml:space="preserve">        </w:t>
      </w:r>
      <w:r w:rsidRPr="00144BF1">
        <w:rPr>
          <w:rFonts w:eastAsia="Calibri,Times New Roman" w:cs="Calibri,Times New Roman"/>
          <w:sz w:val="24"/>
          <w:szCs w:val="24"/>
        </w:rPr>
        <w:tab/>
        <w:t>+49 (0)541 2019 7001</w:t>
      </w:r>
      <w:r w:rsidRPr="00144BF1">
        <w:rPr>
          <w:rFonts w:eastAsia="Calibri,Times New Roman" w:cs="Calibri,Times New Roman"/>
          <w:sz w:val="24"/>
          <w:szCs w:val="24"/>
        </w:rPr>
        <w:br/>
        <w:t xml:space="preserve">Tel.: Johannes Sonnen </w:t>
      </w:r>
      <w:r w:rsidRPr="00144BF1">
        <w:rPr>
          <w:rFonts w:eastAsia="Calibri,Times New Roman" w:cs="Calibri,Times New Roman"/>
          <w:sz w:val="24"/>
          <w:szCs w:val="24"/>
        </w:rPr>
        <w:tab/>
        <w:t>+49 (0)541 2019 7002</w:t>
      </w:r>
      <w:bookmarkEnd w:id="2"/>
    </w:p>
    <w:p w:rsidR="00170045" w:rsidRPr="00C60D25" w:rsidRDefault="00170045" w:rsidP="00634DCE">
      <w:pPr>
        <w:spacing w:after="160" w:line="259" w:lineRule="auto"/>
        <w:jc w:val="both"/>
        <w:rPr>
          <w:rFonts w:eastAsia="Calibri" w:cs="Times New Roman"/>
          <w:i/>
          <w:iCs/>
          <w:sz w:val="20"/>
          <w:szCs w:val="20"/>
        </w:rPr>
      </w:pPr>
    </w:p>
    <w:p w:rsidR="00634DCE" w:rsidRPr="006715D8" w:rsidRDefault="00AF1DB6" w:rsidP="00634DCE">
      <w:pPr>
        <w:spacing w:after="160" w:line="259" w:lineRule="auto"/>
        <w:jc w:val="both"/>
        <w:rPr>
          <w:rFonts w:eastAsia="Calibri" w:cs="Times New Roman"/>
          <w:i/>
          <w:sz w:val="20"/>
          <w:szCs w:val="20"/>
          <w:lang w:val="en-US"/>
        </w:rPr>
      </w:pPr>
      <w:r>
        <w:rPr>
          <w:rFonts w:eastAsia="Calibri" w:cs="Times New Roman"/>
          <w:i/>
          <w:iCs/>
          <w:sz w:val="20"/>
          <w:szCs w:val="20"/>
          <w:lang w:val="en-GB"/>
        </w:rPr>
        <w:t xml:space="preserve">About </w:t>
      </w:r>
      <w:r w:rsidR="003A478A">
        <w:rPr>
          <w:rFonts w:eastAsia="Calibri" w:cs="Times New Roman"/>
          <w:i/>
          <w:iCs/>
          <w:sz w:val="20"/>
          <w:szCs w:val="20"/>
          <w:lang w:val="en-GB"/>
        </w:rPr>
        <w:t>DKE-Data GmbH &amp; Co. KG</w:t>
      </w:r>
    </w:p>
    <w:p w:rsidR="00B2251C" w:rsidRPr="00144BF1" w:rsidRDefault="003A478A" w:rsidP="00634DCE">
      <w:pPr>
        <w:spacing w:after="160" w:line="259" w:lineRule="auto"/>
        <w:jc w:val="both"/>
        <w:rPr>
          <w:rFonts w:eastAsia="Calibri" w:cs="Times New Roman"/>
          <w:i/>
          <w:sz w:val="20"/>
          <w:szCs w:val="20"/>
          <w:lang w:val="en-GB"/>
        </w:rPr>
      </w:pPr>
      <w:r>
        <w:rPr>
          <w:rFonts w:eastAsia="Calibri" w:cs="Times New Roman"/>
          <w:i/>
          <w:iCs/>
          <w:sz w:val="20"/>
          <w:szCs w:val="20"/>
          <w:lang w:val="en-GB"/>
        </w:rPr>
        <w:t xml:space="preserve">The company became active in July 2016 as the successor to DKE GmbH, which was founded two years earlier, and has its headquarters in ICO, i.e. the Innovation Centre of Osnabrück. DKE-Data GmbH &amp; Co. KG developed the idea of the manufacturer-neutral, multiproduct data exchange platform </w:t>
      </w:r>
      <w:proofErr w:type="spellStart"/>
      <w:r w:rsidR="005663B8">
        <w:rPr>
          <w:rFonts w:eastAsia="Calibri" w:cs="Times New Roman"/>
          <w:i/>
          <w:iCs/>
          <w:sz w:val="20"/>
          <w:szCs w:val="20"/>
          <w:lang w:val="en-GB"/>
        </w:rPr>
        <w:t>agrirouter</w:t>
      </w:r>
      <w:proofErr w:type="spellEnd"/>
      <w:r>
        <w:rPr>
          <w:rFonts w:eastAsia="Calibri" w:cs="Times New Roman"/>
          <w:i/>
          <w:iCs/>
          <w:sz w:val="20"/>
          <w:szCs w:val="20"/>
          <w:lang w:val="en-GB"/>
        </w:rPr>
        <w:t xml:space="preserve"> in cooperation with the consortium partners and other donors, and instigated the necessary developments by tendering, allocating and control of the various work packages to external service providers. After the start of operations DKE-Data GmbH &amp; Co. KG will also take on its role as the operating company for the </w:t>
      </w:r>
      <w:proofErr w:type="spellStart"/>
      <w:r w:rsidR="005663B8">
        <w:rPr>
          <w:rFonts w:eastAsia="Calibri" w:cs="Times New Roman"/>
          <w:i/>
          <w:iCs/>
          <w:sz w:val="20"/>
          <w:szCs w:val="20"/>
          <w:lang w:val="en-GB"/>
        </w:rPr>
        <w:t>agrirouter</w:t>
      </w:r>
      <w:proofErr w:type="spellEnd"/>
      <w:r>
        <w:rPr>
          <w:rFonts w:eastAsia="Calibri" w:cs="Times New Roman"/>
          <w:i/>
          <w:iCs/>
          <w:sz w:val="20"/>
          <w:szCs w:val="20"/>
          <w:lang w:val="en-GB"/>
        </w:rPr>
        <w:t>.</w:t>
      </w:r>
    </w:p>
    <w:sectPr w:rsidR="00B2251C" w:rsidRPr="00144BF1" w:rsidSect="00170045">
      <w:headerReference w:type="default" r:id="rId13"/>
      <w:footerReference w:type="default" r:id="rId14"/>
      <w:headerReference w:type="first" r:id="rId15"/>
      <w:footerReference w:type="first" r:id="rId16"/>
      <w:pgSz w:w="11906" w:h="16838"/>
      <w:pgMar w:top="1279" w:right="1417" w:bottom="993" w:left="1417" w:header="150" w:footer="5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E72" w:rsidRDefault="001E6E72">
      <w:pPr>
        <w:spacing w:after="0" w:line="240" w:lineRule="auto"/>
      </w:pPr>
      <w:r>
        <w:separator/>
      </w:r>
    </w:p>
  </w:endnote>
  <w:endnote w:type="continuationSeparator" w:id="0">
    <w:p w:rsidR="001E6E72" w:rsidRDefault="001E6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A1B" w:rsidRDefault="00853A1B">
    <w:pPr>
      <w:pStyle w:val="Fuzeile"/>
    </w:pPr>
    <w:r w:rsidRPr="00144BF1">
      <w:rPr>
        <w:sz w:val="12"/>
        <w:szCs w:val="12"/>
      </w:rPr>
      <w:t>DKE-Data GmbH &amp; Co. KG, Albert-Einstein</w:t>
    </w:r>
    <w:r w:rsidR="00214298">
      <w:rPr>
        <w:sz w:val="12"/>
        <w:szCs w:val="12"/>
      </w:rPr>
      <w:t>-Str. 1, 49076 Osnabrück, press</w:t>
    </w:r>
    <w:r w:rsidRPr="00144BF1">
      <w:rPr>
        <w:sz w:val="12"/>
        <w:szCs w:val="12"/>
      </w:rPr>
      <w:t>@dke-data.com, www.dke-data.com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A1B" w:rsidRPr="00D508B1" w:rsidRDefault="00D508B1" w:rsidP="00D508B1">
    <w:pPr>
      <w:pStyle w:val="Fuzeile"/>
    </w:pPr>
    <w:r>
      <w:rPr>
        <w:sz w:val="12"/>
        <w:szCs w:val="12"/>
      </w:rPr>
      <w:t>DKE-Data GmbH &amp; Co. KG, Albert-Einstein-Str. 1, 49076 Osnabrück, press@dke-data.com, www.dke-data.com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E72" w:rsidRDefault="001E6E72">
      <w:pPr>
        <w:spacing w:after="0" w:line="240" w:lineRule="auto"/>
      </w:pPr>
      <w:r>
        <w:separator/>
      </w:r>
    </w:p>
  </w:footnote>
  <w:footnote w:type="continuationSeparator" w:id="0">
    <w:p w:rsidR="001E6E72" w:rsidRDefault="001E6E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top"/>
      <w:tblW w:w="5000" w:type="pct"/>
      <w:tblLayout w:type="fixed"/>
      <w:tblLook w:val="04A0"/>
    </w:tblPr>
    <w:tblGrid>
      <w:gridCol w:w="1858"/>
      <w:gridCol w:w="7430"/>
    </w:tblGrid>
    <w:sdt>
      <w:sdtPr>
        <w:id w:val="-296694145"/>
        <w:docPartObj>
          <w:docPartGallery w:val="Page Numbers (Top of Page)"/>
          <w:docPartUnique/>
        </w:docPartObj>
      </w:sdtPr>
      <w:sdtEndPr>
        <w:rPr>
          <w:rFonts w:asciiTheme="majorHAnsi" w:eastAsiaTheme="majorEastAsia" w:hAnsiTheme="majorHAnsi" w:cstheme="majorBidi"/>
          <w:sz w:val="28"/>
          <w:szCs w:val="28"/>
        </w:rPr>
      </w:sdtEndPr>
      <w:sdtContent>
        <w:tr w:rsidR="00853A1B">
          <w:trPr>
            <w:trHeight w:val="1080"/>
          </w:trPr>
          <w:tc>
            <w:tcPr>
              <w:tcW w:w="1000" w:type="pct"/>
              <w:tcBorders>
                <w:right w:val="triple" w:sz="4" w:space="0" w:color="4F81BD" w:themeColor="accent1"/>
              </w:tcBorders>
              <w:vAlign w:val="bottom"/>
            </w:tcPr>
            <w:p w:rsidR="00853A1B" w:rsidRDefault="00574E18">
              <w:pPr>
                <w:pStyle w:val="KeinLeerraum"/>
                <w:jc w:val="right"/>
                <w:rPr>
                  <w:rFonts w:asciiTheme="majorHAnsi" w:eastAsiaTheme="majorEastAsia" w:hAnsiTheme="majorHAnsi" w:cstheme="majorBidi"/>
                  <w:sz w:val="20"/>
                  <w:szCs w:val="20"/>
                </w:rPr>
              </w:pPr>
              <w:r>
                <w:rPr>
                  <w:lang w:val="en-GB"/>
                </w:rPr>
                <w:fldChar w:fldCharType="begin"/>
              </w:r>
              <w:r w:rsidR="00853A1B">
                <w:rPr>
                  <w:lang w:val="en-GB"/>
                </w:rPr>
                <w:instrText>PAGE    \* MERGEFORMAT</w:instrText>
              </w:r>
              <w:r>
                <w:rPr>
                  <w:lang w:val="en-GB"/>
                </w:rPr>
                <w:fldChar w:fldCharType="separate"/>
              </w:r>
              <w:r w:rsidR="000E6F8F">
                <w:rPr>
                  <w:noProof/>
                  <w:lang w:val="en-GB"/>
                </w:rPr>
                <w:t>3</w:t>
              </w:r>
              <w:r>
                <w:rPr>
                  <w:lang w:val="en-GB"/>
                </w:rPr>
                <w:fldChar w:fldCharType="end"/>
              </w:r>
            </w:p>
          </w:tc>
          <w:tc>
            <w:tcPr>
              <w:tcW w:w="4000" w:type="pct"/>
              <w:tcBorders>
                <w:left w:val="triple" w:sz="4" w:space="0" w:color="4F81BD" w:themeColor="accent1"/>
              </w:tcBorders>
              <w:vAlign w:val="bottom"/>
            </w:tcPr>
            <w:p w:rsidR="00853A1B" w:rsidRDefault="00853A1B">
              <w:pPr>
                <w:pStyle w:val="KeinLeerraum"/>
                <w:jc w:val="right"/>
                <w:rPr>
                  <w:rFonts w:asciiTheme="majorHAnsi" w:eastAsiaTheme="majorEastAsia" w:hAnsiTheme="majorHAnsi" w:cstheme="majorBidi"/>
                  <w:sz w:val="28"/>
                  <w:szCs w:val="28"/>
                </w:rPr>
              </w:pPr>
              <w:r>
                <w:rPr>
                  <w:noProof/>
                  <w:sz w:val="12"/>
                  <w:szCs w:val="12"/>
                </w:rPr>
                <w:drawing>
                  <wp:inline distT="0" distB="0" distL="0" distR="0">
                    <wp:extent cx="1293195" cy="603250"/>
                    <wp:effectExtent l="0" t="0" r="2540" b="6350"/>
                    <wp:docPr id="5" name="Grafik 5" descr="C:\Users\DKE_Sonnen\AppData\Local\Microsoft\Windows\INetCache\Content.Word\Logo 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C:\Users\DKE_Sonnen\AppData\Local\Microsoft\Windows\INetCache\Content.Word\Logo Positiv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2190" cy="607446"/>
                            </a:xfrm>
                            <a:prstGeom prst="rect">
                              <a:avLst/>
                            </a:prstGeom>
                            <a:noFill/>
                            <a:ln>
                              <a:noFill/>
                            </a:ln>
                          </pic:spPr>
                        </pic:pic>
                      </a:graphicData>
                    </a:graphic>
                  </wp:inline>
                </w:drawing>
              </w:r>
            </w:p>
          </w:tc>
        </w:tr>
      </w:sdtContent>
    </w:sdt>
  </w:tbl>
  <w:p w:rsidR="00853A1B" w:rsidRDefault="00853A1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A1B" w:rsidRDefault="00853A1B">
    <w:pPr>
      <w:pStyle w:val="Kopfzeile"/>
      <w:jc w:val="right"/>
    </w:pPr>
    <w:r>
      <w:rPr>
        <w:noProof/>
        <w:sz w:val="12"/>
        <w:szCs w:val="12"/>
        <w:lang w:eastAsia="de-DE"/>
      </w:rPr>
      <w:drawing>
        <wp:inline distT="0" distB="0" distL="0" distR="0">
          <wp:extent cx="1293195" cy="603250"/>
          <wp:effectExtent l="0" t="0" r="2540" b="6350"/>
          <wp:docPr id="6" name="Grafik 6" descr="C:\Users\DKE_Sonnen\AppData\Local\Microsoft\Windows\INetCache\Content.Word\Logo 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C:\Users\DKE_Sonnen\AppData\Local\Microsoft\Windows\INetCache\Content.Word\Logo Positiv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2190" cy="60744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00FF4"/>
    <w:multiLevelType w:val="hybridMultilevel"/>
    <w:tmpl w:val="6CDE20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F195320"/>
    <w:multiLevelType w:val="hybridMultilevel"/>
    <w:tmpl w:val="CD62A7B8"/>
    <w:lvl w:ilvl="0" w:tplc="CF4AD576">
      <w:numFmt w:val="decimalZero"/>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6644EE6"/>
    <w:multiLevelType w:val="hybridMultilevel"/>
    <w:tmpl w:val="07661E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AA1017F"/>
    <w:multiLevelType w:val="hybridMultilevel"/>
    <w:tmpl w:val="1A0ECA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ABA1FB1"/>
    <w:multiLevelType w:val="hybridMultilevel"/>
    <w:tmpl w:val="EEDE3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51526ED8"/>
    <w:multiLevelType w:val="hybridMultilevel"/>
    <w:tmpl w:val="1736C5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60D811EA"/>
    <w:multiLevelType w:val="hybridMultilevel"/>
    <w:tmpl w:val="01044A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6B710C6B"/>
    <w:multiLevelType w:val="hybridMultilevel"/>
    <w:tmpl w:val="0F72E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2D07030"/>
    <w:multiLevelType w:val="hybridMultilevel"/>
    <w:tmpl w:val="1A0ECA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48028E2"/>
    <w:multiLevelType w:val="hybridMultilevel"/>
    <w:tmpl w:val="364083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4"/>
  </w:num>
  <w:num w:numId="5">
    <w:abstractNumId w:val="6"/>
  </w:num>
  <w:num w:numId="6">
    <w:abstractNumId w:val="1"/>
  </w:num>
  <w:num w:numId="7">
    <w:abstractNumId w:val="2"/>
  </w:num>
  <w:num w:numId="8">
    <w:abstractNumId w:val="5"/>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de-DE" w:vendorID="64" w:dllVersion="0" w:nlCheck="1" w:checkStyle="0"/>
  <w:activeWritingStyle w:appName="MSWord" w:lang="de-DE" w:vendorID="64" w:dllVersion="4096" w:nlCheck="1" w:checkStyle="0"/>
  <w:activeWritingStyle w:appName="MSWord" w:lang="en-GB" w:vendorID="64" w:dllVersion="0" w:nlCheck="1" w:checkStyle="0"/>
  <w:proofState w:spelling="clean"/>
  <w:stylePaneFormatFilter w:val="1021"/>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rsids>
    <w:rsidRoot w:val="00B2251C"/>
    <w:rsid w:val="00000198"/>
    <w:rsid w:val="000100F6"/>
    <w:rsid w:val="0002764E"/>
    <w:rsid w:val="00054053"/>
    <w:rsid w:val="00097EC6"/>
    <w:rsid w:val="000D5514"/>
    <w:rsid w:val="000E6F8F"/>
    <w:rsid w:val="0011585A"/>
    <w:rsid w:val="0013074E"/>
    <w:rsid w:val="00131FEB"/>
    <w:rsid w:val="00144BF1"/>
    <w:rsid w:val="00162D0A"/>
    <w:rsid w:val="00170045"/>
    <w:rsid w:val="001E6E72"/>
    <w:rsid w:val="00214298"/>
    <w:rsid w:val="002466DC"/>
    <w:rsid w:val="00246D85"/>
    <w:rsid w:val="002B6B81"/>
    <w:rsid w:val="002D6943"/>
    <w:rsid w:val="002F7EDF"/>
    <w:rsid w:val="00313CF8"/>
    <w:rsid w:val="00335276"/>
    <w:rsid w:val="00355C3E"/>
    <w:rsid w:val="00360FF6"/>
    <w:rsid w:val="003A478A"/>
    <w:rsid w:val="004019A8"/>
    <w:rsid w:val="00433D88"/>
    <w:rsid w:val="00440703"/>
    <w:rsid w:val="0050780E"/>
    <w:rsid w:val="00524B80"/>
    <w:rsid w:val="00533070"/>
    <w:rsid w:val="005628B1"/>
    <w:rsid w:val="005663B8"/>
    <w:rsid w:val="00574E18"/>
    <w:rsid w:val="0059714C"/>
    <w:rsid w:val="005E67C2"/>
    <w:rsid w:val="00605E7C"/>
    <w:rsid w:val="0061479F"/>
    <w:rsid w:val="00626A3E"/>
    <w:rsid w:val="00631A33"/>
    <w:rsid w:val="00634DCE"/>
    <w:rsid w:val="00650AB1"/>
    <w:rsid w:val="00655B5F"/>
    <w:rsid w:val="00666ACB"/>
    <w:rsid w:val="006715D8"/>
    <w:rsid w:val="006920EA"/>
    <w:rsid w:val="006B1EC6"/>
    <w:rsid w:val="006C3CF4"/>
    <w:rsid w:val="0073573A"/>
    <w:rsid w:val="00737B11"/>
    <w:rsid w:val="007549B9"/>
    <w:rsid w:val="007842A1"/>
    <w:rsid w:val="0079232E"/>
    <w:rsid w:val="007F6BFF"/>
    <w:rsid w:val="007F70E9"/>
    <w:rsid w:val="0085170C"/>
    <w:rsid w:val="00853A1B"/>
    <w:rsid w:val="008A4C0B"/>
    <w:rsid w:val="008D25FB"/>
    <w:rsid w:val="008E0478"/>
    <w:rsid w:val="009400B5"/>
    <w:rsid w:val="00941969"/>
    <w:rsid w:val="00956699"/>
    <w:rsid w:val="00A0298B"/>
    <w:rsid w:val="00A929EE"/>
    <w:rsid w:val="00AC1E83"/>
    <w:rsid w:val="00AF1DB6"/>
    <w:rsid w:val="00B2251C"/>
    <w:rsid w:val="00B56866"/>
    <w:rsid w:val="00BA28B8"/>
    <w:rsid w:val="00BB06C0"/>
    <w:rsid w:val="00BC129E"/>
    <w:rsid w:val="00BC3CEF"/>
    <w:rsid w:val="00BC69A1"/>
    <w:rsid w:val="00C21E5A"/>
    <w:rsid w:val="00C60D25"/>
    <w:rsid w:val="00C67FD7"/>
    <w:rsid w:val="00CA4EA1"/>
    <w:rsid w:val="00CB2DD0"/>
    <w:rsid w:val="00D365B7"/>
    <w:rsid w:val="00D508B1"/>
    <w:rsid w:val="00DD7849"/>
    <w:rsid w:val="00DF3316"/>
    <w:rsid w:val="00E20E61"/>
    <w:rsid w:val="00E31943"/>
    <w:rsid w:val="00EB37A8"/>
    <w:rsid w:val="00EE3498"/>
    <w:rsid w:val="00F234B6"/>
    <w:rsid w:val="00F47A01"/>
    <w:rsid w:val="00F76839"/>
    <w:rsid w:val="00FA6E3D"/>
    <w:rsid w:val="00FF596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4E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4E18"/>
    <w:pPr>
      <w:ind w:left="720"/>
      <w:contextualSpacing/>
    </w:pPr>
  </w:style>
  <w:style w:type="paragraph" w:styleId="Kopfzeile">
    <w:name w:val="header"/>
    <w:basedOn w:val="Standard"/>
    <w:link w:val="KopfzeileZchn"/>
    <w:uiPriority w:val="99"/>
    <w:unhideWhenUsed/>
    <w:rsid w:val="00574E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4E18"/>
  </w:style>
  <w:style w:type="paragraph" w:styleId="Fuzeile">
    <w:name w:val="footer"/>
    <w:basedOn w:val="Standard"/>
    <w:link w:val="FuzeileZchn"/>
    <w:uiPriority w:val="99"/>
    <w:unhideWhenUsed/>
    <w:rsid w:val="00574E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4E18"/>
  </w:style>
  <w:style w:type="character" w:styleId="Hyperlink">
    <w:name w:val="Hyperlink"/>
    <w:basedOn w:val="Absatz-Standardschriftart"/>
    <w:uiPriority w:val="99"/>
    <w:unhideWhenUsed/>
    <w:rsid w:val="00574E18"/>
    <w:rPr>
      <w:color w:val="0000FF" w:themeColor="hyperlink"/>
      <w:u w:val="single"/>
    </w:rPr>
  </w:style>
  <w:style w:type="paragraph" w:styleId="KeinLeerraum">
    <w:name w:val="No Spacing"/>
    <w:link w:val="KeinLeerraumZchn"/>
    <w:uiPriority w:val="1"/>
    <w:qFormat/>
    <w:rsid w:val="00574E18"/>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574E18"/>
    <w:rPr>
      <w:rFonts w:eastAsiaTheme="minorEastAsia"/>
      <w:lang w:eastAsia="de-DE"/>
    </w:rPr>
  </w:style>
  <w:style w:type="character" w:styleId="Kommentarzeichen">
    <w:name w:val="annotation reference"/>
    <w:basedOn w:val="Absatz-Standardschriftart"/>
    <w:uiPriority w:val="99"/>
    <w:semiHidden/>
    <w:unhideWhenUsed/>
    <w:rsid w:val="00574E18"/>
    <w:rPr>
      <w:sz w:val="16"/>
      <w:szCs w:val="16"/>
    </w:rPr>
  </w:style>
  <w:style w:type="paragraph" w:styleId="Kommentartext">
    <w:name w:val="annotation text"/>
    <w:basedOn w:val="Standard"/>
    <w:link w:val="KommentartextZchn"/>
    <w:uiPriority w:val="99"/>
    <w:semiHidden/>
    <w:unhideWhenUsed/>
    <w:rsid w:val="00574E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4E18"/>
    <w:rPr>
      <w:sz w:val="20"/>
      <w:szCs w:val="20"/>
    </w:rPr>
  </w:style>
  <w:style w:type="paragraph" w:styleId="Kommentarthema">
    <w:name w:val="annotation subject"/>
    <w:basedOn w:val="Kommentartext"/>
    <w:next w:val="Kommentartext"/>
    <w:link w:val="KommentarthemaZchn"/>
    <w:uiPriority w:val="99"/>
    <w:semiHidden/>
    <w:unhideWhenUsed/>
    <w:rsid w:val="00574E18"/>
    <w:rPr>
      <w:b/>
      <w:bCs/>
    </w:rPr>
  </w:style>
  <w:style w:type="character" w:customStyle="1" w:styleId="KommentarthemaZchn">
    <w:name w:val="Kommentarthema Zchn"/>
    <w:basedOn w:val="KommentartextZchn"/>
    <w:link w:val="Kommentarthema"/>
    <w:uiPriority w:val="99"/>
    <w:semiHidden/>
    <w:rsid w:val="00574E18"/>
    <w:rPr>
      <w:b/>
      <w:bCs/>
      <w:sz w:val="20"/>
      <w:szCs w:val="20"/>
    </w:rPr>
  </w:style>
  <w:style w:type="paragraph" w:styleId="Sprechblasentext">
    <w:name w:val="Balloon Text"/>
    <w:basedOn w:val="Standard"/>
    <w:link w:val="SprechblasentextZchn"/>
    <w:uiPriority w:val="99"/>
    <w:semiHidden/>
    <w:unhideWhenUsed/>
    <w:rsid w:val="00574E1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4E18"/>
    <w:rPr>
      <w:rFonts w:ascii="Segoe UI" w:hAnsi="Segoe UI" w:cs="Segoe UI"/>
      <w:sz w:val="18"/>
      <w:szCs w:val="18"/>
    </w:rPr>
  </w:style>
  <w:style w:type="table" w:styleId="Tabellengitternetz">
    <w:name w:val="Table Grid"/>
    <w:basedOn w:val="NormaleTabelle"/>
    <w:uiPriority w:val="59"/>
    <w:rsid w:val="00574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unhideWhenUsed/>
    <w:qFormat/>
    <w:rsid w:val="00574E18"/>
    <w:pPr>
      <w:spacing w:line="240" w:lineRule="auto"/>
    </w:pPr>
    <w:rPr>
      <w:i/>
      <w:iCs/>
      <w:color w:val="1F497D" w:themeColor="text2"/>
      <w:sz w:val="18"/>
      <w:szCs w:val="18"/>
    </w:rPr>
  </w:style>
  <w:style w:type="paragraph" w:styleId="berarbeitung">
    <w:name w:val="Revision"/>
    <w:hidden/>
    <w:uiPriority w:val="99"/>
    <w:semiHidden/>
    <w:rsid w:val="00574E18"/>
    <w:pPr>
      <w:spacing w:after="0" w:line="240" w:lineRule="auto"/>
    </w:pPr>
  </w:style>
  <w:style w:type="character" w:customStyle="1" w:styleId="UnresolvedMention">
    <w:name w:val="Unresolved Mention"/>
    <w:basedOn w:val="Absatz-Standardschriftart"/>
    <w:uiPriority w:val="99"/>
    <w:semiHidden/>
    <w:unhideWhenUsed/>
    <w:rsid w:val="00D365B7"/>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F6F164CE6C834DBB66779853E6BDCD" ma:contentTypeVersion="6" ma:contentTypeDescription="Ein neues Dokument erstellen." ma:contentTypeScope="" ma:versionID="d913df7c0f1e45dfd7d6f4bea6e922d9">
  <xsd:schema xmlns:xsd="http://www.w3.org/2001/XMLSchema" xmlns:xs="http://www.w3.org/2001/XMLSchema" xmlns:p="http://schemas.microsoft.com/office/2006/metadata/properties" xmlns:ns2="beb7027d-9131-4add-95ed-bb4afb12d02a" xmlns:ns3="9f9de6c9-7a98-49d8-a5a7-44c06eed13aa" targetNamespace="http://schemas.microsoft.com/office/2006/metadata/properties" ma:root="true" ma:fieldsID="fb652930b223e18daf4b244cfcb54911" ns2:_="" ns3:_="">
    <xsd:import namespace="beb7027d-9131-4add-95ed-bb4afb12d02a"/>
    <xsd:import namespace="9f9de6c9-7a98-49d8-a5a7-44c06eed13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7027d-9131-4add-95ed-bb4afb12d02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de6c9-7a98-49d8-a5a7-44c06eed13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84B54-F042-484F-A283-C7D40CE1B713}">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9f9de6c9-7a98-49d8-a5a7-44c06eed13aa"/>
    <ds:schemaRef ds:uri="http://schemas.microsoft.com/office/infopath/2007/PartnerControls"/>
    <ds:schemaRef ds:uri="beb7027d-9131-4add-95ed-bb4afb12d02a"/>
  </ds:schemaRefs>
</ds:datastoreItem>
</file>

<file path=customXml/itemProps2.xml><?xml version="1.0" encoding="utf-8"?>
<ds:datastoreItem xmlns:ds="http://schemas.openxmlformats.org/officeDocument/2006/customXml" ds:itemID="{CC99C663-9D9E-4C4E-8B93-7A813D605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7027d-9131-4add-95ed-bb4afb12d02a"/>
    <ds:schemaRef ds:uri="9f9de6c9-7a98-49d8-a5a7-44c06eed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AA563-6DFD-4998-8722-EC1715DB4357}">
  <ds:schemaRefs>
    <ds:schemaRef ds:uri="http://schemas.microsoft.com/sharepoint/v3/contenttype/forms"/>
  </ds:schemaRefs>
</ds:datastoreItem>
</file>

<file path=customXml/itemProps4.xml><?xml version="1.0" encoding="utf-8"?>
<ds:datastoreItem xmlns:ds="http://schemas.openxmlformats.org/officeDocument/2006/customXml" ds:itemID="{CD6918AC-8BF0-48E0-9DD0-17ECF133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4708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2017-08-18T12:41:00Z</dcterms:created>
  <dcterms:modified xsi:type="dcterms:W3CDTF">2017-09-04T06:48:00Z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0x010100A0F6F164CE6C834DBB66779853E6BDCD</vt:lpwstr>
  </property>
</Properties>
</file>