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05DCA" w14:textId="22EA38FD" w:rsidR="0013612A" w:rsidRPr="00B311A1" w:rsidRDefault="00B56001" w:rsidP="00A340C3">
      <w:pPr>
        <w:spacing w:line="360" w:lineRule="auto"/>
        <w:jc w:val="both"/>
        <w:rPr>
          <w:rFonts w:cs="Arial"/>
          <w:bCs/>
          <w:iCs/>
          <w:sz w:val="32"/>
          <w:szCs w:val="32"/>
        </w:rPr>
      </w:pPr>
      <w:bookmarkStart w:id="0" w:name="_GoBack"/>
      <w:bookmarkEnd w:id="0"/>
      <w:r>
        <w:rPr>
          <w:bCs/>
          <w:iCs/>
          <w:sz w:val="36"/>
          <w:szCs w:val="36"/>
        </w:rPr>
        <w:t>FLOWTAST</w:t>
      </w:r>
      <w:r>
        <w:rPr>
          <w:bCs/>
          <w:iCs/>
          <w:sz w:val="32"/>
          <w:szCs w:val="32"/>
        </w:rPr>
        <w:t>: Clean forage in difficult conditions</w:t>
      </w:r>
    </w:p>
    <w:p w14:paraId="3958E739" w14:textId="637CF786" w:rsidR="00A92099" w:rsidRPr="0013612A" w:rsidRDefault="00A92099" w:rsidP="00A92099">
      <w:pPr>
        <w:spacing w:line="360" w:lineRule="auto"/>
        <w:rPr>
          <w:rFonts w:cs="Arial"/>
          <w:sz w:val="24"/>
          <w:lang w:val="de-DE"/>
        </w:rPr>
      </w:pPr>
    </w:p>
    <w:p w14:paraId="54E33118" w14:textId="50D1CF82" w:rsidR="0013612A" w:rsidRDefault="00B21477" w:rsidP="00332295">
      <w:pPr>
        <w:spacing w:line="360" w:lineRule="auto"/>
        <w:jc w:val="both"/>
        <w:rPr>
          <w:rFonts w:cs="Arial"/>
          <w:sz w:val="24"/>
        </w:rPr>
      </w:pPr>
      <w:r>
        <w:rPr>
          <w:sz w:val="24"/>
        </w:rPr>
        <w:t xml:space="preserve">The TOP 842 C centre-swath rake offers high output and the best ground tracking over a working width of 7.7 to 8.4 metres. Pöttinger has upgraded this rake with an innovative feature: The new glide bar is available as an option instead of jockey wheels to track the ground close to the tines over the whole surface. FLOWTAST glides effortlessly over wet and peaty soils even with deep marks and holes. </w:t>
      </w:r>
    </w:p>
    <w:p w14:paraId="1C129ACD" w14:textId="77777777" w:rsidR="001E7FD1" w:rsidRDefault="001E7FD1" w:rsidP="00332295">
      <w:pPr>
        <w:spacing w:line="360" w:lineRule="auto"/>
        <w:jc w:val="both"/>
        <w:rPr>
          <w:rFonts w:cs="Arial"/>
          <w:sz w:val="24"/>
          <w:szCs w:val="22"/>
          <w:lang w:val="de-DE"/>
        </w:rPr>
      </w:pPr>
    </w:p>
    <w:p w14:paraId="36B2FFA0" w14:textId="2BC20767" w:rsidR="006E3FB2" w:rsidRDefault="0013612A" w:rsidP="00B56001">
      <w:pPr>
        <w:spacing w:line="360" w:lineRule="auto"/>
        <w:jc w:val="both"/>
        <w:rPr>
          <w:rFonts w:cs="Arial"/>
          <w:sz w:val="24"/>
        </w:rPr>
      </w:pPr>
      <w:r>
        <w:rPr>
          <w:sz w:val="24"/>
        </w:rPr>
        <w:t xml:space="preserve">Pöttinger presented the innovative glide bar for the first time at the </w:t>
      </w:r>
      <w:proofErr w:type="spellStart"/>
      <w:r>
        <w:rPr>
          <w:sz w:val="24"/>
        </w:rPr>
        <w:t>Agritechnica</w:t>
      </w:r>
      <w:proofErr w:type="spellEnd"/>
      <w:r>
        <w:rPr>
          <w:sz w:val="24"/>
        </w:rPr>
        <w:t xml:space="preserve"> in Hanover (GER) last year. This spring, the new kit proved it met expectations in the field. Pöttinger has been focussing on the production of clean forage. During development, they paid special attention to situations where a wheeled chassis reaches its limits. This is the case, for example, on wet, peaty soils with deep wheel marks, and when working with whole crop forage in fields where the sward does not provide full surface cover, or even in areas that have been damaged by wild boar. If the wheels sink in, the tines inevitably scrape the ground and the forage becomes contaminated. </w:t>
      </w:r>
    </w:p>
    <w:p w14:paraId="51C69786" w14:textId="77777777" w:rsidR="00B311A1" w:rsidRDefault="00B311A1" w:rsidP="00F560CC">
      <w:pPr>
        <w:spacing w:line="360" w:lineRule="auto"/>
        <w:jc w:val="both"/>
        <w:rPr>
          <w:rFonts w:cs="Arial"/>
          <w:b/>
          <w:bCs/>
          <w:sz w:val="24"/>
          <w:lang w:val="de-DE"/>
        </w:rPr>
      </w:pPr>
    </w:p>
    <w:p w14:paraId="71C9F179" w14:textId="1F35107F" w:rsidR="00F560CC" w:rsidRDefault="00F560CC" w:rsidP="00F560CC">
      <w:pPr>
        <w:spacing w:line="360" w:lineRule="auto"/>
        <w:jc w:val="both"/>
        <w:rPr>
          <w:rFonts w:cs="Arial"/>
          <w:b/>
          <w:bCs/>
          <w:sz w:val="24"/>
        </w:rPr>
      </w:pPr>
      <w:r>
        <w:rPr>
          <w:b/>
          <w:bCs/>
          <w:sz w:val="24"/>
        </w:rPr>
        <w:t xml:space="preserve">How it works </w:t>
      </w:r>
    </w:p>
    <w:p w14:paraId="34CB2456" w14:textId="4FC8DAA4" w:rsidR="001E7FD1" w:rsidRDefault="001E7FD1" w:rsidP="001E7FD1">
      <w:pPr>
        <w:spacing w:line="360" w:lineRule="auto"/>
        <w:jc w:val="both"/>
        <w:rPr>
          <w:rFonts w:cs="Arial"/>
          <w:sz w:val="24"/>
        </w:rPr>
      </w:pPr>
      <w:r>
        <w:rPr>
          <w:sz w:val="24"/>
        </w:rPr>
        <w:t xml:space="preserve">With FLOWTAST, the rake glides smoothly over problem areas in the field. The large area of contact improves load-bearing capacity on wet, peaty soils. A hydraulic cylinder alleviates the weight of the TOP 842 C rotor unit. This results in a low pressure on the ground of approx. 200 kg. This protects the soil and the glide bar. Repair work and downtime are minimized thanks to the reduced wear and lower stress on the frame of the rake. </w:t>
      </w:r>
    </w:p>
    <w:p w14:paraId="7D9987A8" w14:textId="7841551A" w:rsidR="00E734F0" w:rsidRDefault="00E734F0" w:rsidP="00B56001">
      <w:pPr>
        <w:spacing w:line="360" w:lineRule="auto"/>
        <w:jc w:val="both"/>
        <w:rPr>
          <w:rFonts w:cs="Arial"/>
          <w:sz w:val="24"/>
        </w:rPr>
      </w:pPr>
      <w:r>
        <w:rPr>
          <w:sz w:val="24"/>
        </w:rPr>
        <w:t xml:space="preserve">The Pöttinger engineers tested various materials and selected a special plastic (PE 1000) for this application. This synthetic material possesses an enormous resistance to wear and abrasion. Each glide bar consists of five individually exchangeable 15 mm thick plates. To provide perfect ground tracking and tine guidance, the glide bar is installed close to the tines. It tracks the ground along the full raking length of the tine </w:t>
      </w:r>
      <w:r>
        <w:rPr>
          <w:sz w:val="24"/>
        </w:rPr>
        <w:lastRenderedPageBreak/>
        <w:t>arc.</w:t>
      </w:r>
      <w:r>
        <w:rPr>
          <w:color w:val="FF0000"/>
          <w:sz w:val="24"/>
        </w:rPr>
        <w:t xml:space="preserve"> </w:t>
      </w:r>
      <w:r>
        <w:rPr>
          <w:sz w:val="24"/>
        </w:rPr>
        <w:t xml:space="preserve">The sickle shape bar also offers the best gliding properties during sideways movements.  </w:t>
      </w:r>
    </w:p>
    <w:p w14:paraId="3572C74E" w14:textId="000FF2B0" w:rsidR="00C96664" w:rsidRPr="00C05FE5" w:rsidRDefault="00C05FE5" w:rsidP="00B56001">
      <w:pPr>
        <w:spacing w:line="360" w:lineRule="auto"/>
        <w:jc w:val="both"/>
        <w:rPr>
          <w:rFonts w:cs="Arial"/>
          <w:sz w:val="24"/>
        </w:rPr>
      </w:pPr>
      <w:r>
        <w:rPr>
          <w:sz w:val="24"/>
        </w:rPr>
        <w:t xml:space="preserve">The proven MULTITAST jockey wheel system can be fitted as an option for additional ground tracking excellence when using the FLOWTAST glide bar.  </w:t>
      </w:r>
    </w:p>
    <w:p w14:paraId="07DD79BD" w14:textId="77777777" w:rsidR="00AB6584" w:rsidRDefault="00AB6584" w:rsidP="00F514CE">
      <w:pPr>
        <w:spacing w:line="360" w:lineRule="auto"/>
        <w:jc w:val="both"/>
        <w:rPr>
          <w:rFonts w:cs="Arial"/>
          <w:sz w:val="24"/>
          <w:szCs w:val="22"/>
          <w:lang w:val="de-DE"/>
        </w:rPr>
      </w:pPr>
    </w:p>
    <w:p w14:paraId="56940BB2" w14:textId="30A605FC" w:rsidR="00AF3C1D" w:rsidRDefault="00AF3C1D" w:rsidP="00F514CE">
      <w:pPr>
        <w:spacing w:line="360" w:lineRule="auto"/>
        <w:jc w:val="both"/>
        <w:rPr>
          <w:rFonts w:cs="Arial"/>
          <w:b/>
          <w:sz w:val="24"/>
          <w:szCs w:val="22"/>
        </w:rPr>
      </w:pPr>
      <w:r>
        <w:rPr>
          <w:b/>
          <w:sz w:val="24"/>
          <w:szCs w:val="22"/>
        </w:rPr>
        <w:t>Photo preview:</w:t>
      </w:r>
    </w:p>
    <w:tbl>
      <w:tblPr>
        <w:tblStyle w:val="Tabellenraster"/>
        <w:tblW w:w="0" w:type="auto"/>
        <w:tblLook w:val="04A0" w:firstRow="1" w:lastRow="0" w:firstColumn="1" w:lastColumn="0" w:noHBand="0" w:noVBand="1"/>
      </w:tblPr>
      <w:tblGrid>
        <w:gridCol w:w="3020"/>
        <w:gridCol w:w="3021"/>
        <w:gridCol w:w="3021"/>
      </w:tblGrid>
      <w:tr w:rsidR="00EB1CF2" w:rsidRPr="00EB1CF2" w14:paraId="2D7D6E72" w14:textId="77777777" w:rsidTr="00720AA9">
        <w:tc>
          <w:tcPr>
            <w:tcW w:w="3114" w:type="dxa"/>
          </w:tcPr>
          <w:p w14:paraId="7AFACA1F" w14:textId="77777777" w:rsidR="00EB1CF2" w:rsidRDefault="00EB1CF2" w:rsidP="00EB1CF2">
            <w:pPr>
              <w:spacing w:line="360" w:lineRule="auto"/>
              <w:jc w:val="center"/>
              <w:rPr>
                <w:rFonts w:cs="Arial"/>
                <w:b/>
                <w:sz w:val="20"/>
                <w:szCs w:val="20"/>
                <w:lang w:val="de-DE"/>
              </w:rPr>
            </w:pPr>
          </w:p>
          <w:p w14:paraId="75EC4B80" w14:textId="2B6E738B" w:rsidR="00EB1CF2" w:rsidRPr="00EB1CF2" w:rsidRDefault="00EB1CF2" w:rsidP="00EB1CF2">
            <w:pPr>
              <w:spacing w:line="360" w:lineRule="auto"/>
              <w:jc w:val="center"/>
              <w:rPr>
                <w:rFonts w:cs="Arial"/>
                <w:b/>
                <w:sz w:val="20"/>
                <w:szCs w:val="20"/>
              </w:rPr>
            </w:pPr>
            <w:r>
              <w:rPr>
                <w:noProof/>
                <w:sz w:val="20"/>
                <w:szCs w:val="20"/>
              </w:rPr>
              <w:drawing>
                <wp:inline distT="0" distB="0" distL="0" distR="0" wp14:anchorId="4E4EA8B8" wp14:editId="3AAB6FBD">
                  <wp:extent cx="1143000" cy="762000"/>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3512" w:type="dxa"/>
          </w:tcPr>
          <w:p w14:paraId="5A4F6C43" w14:textId="77777777" w:rsidR="00EB1CF2" w:rsidRDefault="00EB1CF2" w:rsidP="00EB1CF2">
            <w:pPr>
              <w:spacing w:line="360" w:lineRule="auto"/>
              <w:jc w:val="center"/>
              <w:rPr>
                <w:rFonts w:cs="Arial"/>
                <w:b/>
                <w:sz w:val="20"/>
                <w:szCs w:val="20"/>
                <w:lang w:val="de-DE"/>
              </w:rPr>
            </w:pPr>
          </w:p>
          <w:p w14:paraId="051965EA" w14:textId="3DC78CB9" w:rsidR="00EB1CF2" w:rsidRPr="00EB1CF2" w:rsidRDefault="00EB1CF2" w:rsidP="00EB1CF2">
            <w:pPr>
              <w:spacing w:line="360" w:lineRule="auto"/>
              <w:jc w:val="center"/>
              <w:rPr>
                <w:rFonts w:cs="Arial"/>
                <w:b/>
                <w:sz w:val="20"/>
                <w:szCs w:val="20"/>
              </w:rPr>
            </w:pPr>
            <w:r>
              <w:rPr>
                <w:noProof/>
                <w:sz w:val="20"/>
                <w:szCs w:val="20"/>
              </w:rPr>
              <w:drawing>
                <wp:inline distT="0" distB="0" distL="0" distR="0" wp14:anchorId="39CDB326" wp14:editId="235E86F5">
                  <wp:extent cx="1143000" cy="762000"/>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2436" w:type="dxa"/>
          </w:tcPr>
          <w:p w14:paraId="7B42691E" w14:textId="77777777" w:rsidR="00EB1CF2" w:rsidRDefault="00EB1CF2" w:rsidP="00EB1CF2">
            <w:pPr>
              <w:spacing w:line="360" w:lineRule="auto"/>
              <w:jc w:val="center"/>
              <w:rPr>
                <w:rFonts w:cs="Arial"/>
                <w:b/>
                <w:sz w:val="20"/>
                <w:szCs w:val="20"/>
                <w:lang w:val="de-DE"/>
              </w:rPr>
            </w:pPr>
          </w:p>
          <w:p w14:paraId="3A677197" w14:textId="33F93A68" w:rsidR="00EB1CF2" w:rsidRPr="00EB1CF2" w:rsidRDefault="00EB1CF2" w:rsidP="00EB1CF2">
            <w:pPr>
              <w:spacing w:line="360" w:lineRule="auto"/>
              <w:jc w:val="center"/>
              <w:rPr>
                <w:rFonts w:cs="Arial"/>
                <w:b/>
                <w:sz w:val="20"/>
                <w:szCs w:val="20"/>
              </w:rPr>
            </w:pPr>
            <w:r>
              <w:rPr>
                <w:noProof/>
                <w:sz w:val="20"/>
                <w:szCs w:val="20"/>
              </w:rPr>
              <w:drawing>
                <wp:inline distT="0" distB="0" distL="0" distR="0" wp14:anchorId="3C1200FA" wp14:editId="19BC3EFB">
                  <wp:extent cx="1143000" cy="762000"/>
                  <wp:effectExtent l="0" t="0" r="0" b="0"/>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EB1CF2" w:rsidRPr="003A13A7" w14:paraId="7F6B99FF" w14:textId="77777777" w:rsidTr="00720AA9">
        <w:tc>
          <w:tcPr>
            <w:tcW w:w="3114" w:type="dxa"/>
          </w:tcPr>
          <w:p w14:paraId="3E44D165" w14:textId="2B09987F" w:rsidR="00EB1CF2" w:rsidRPr="005171C0" w:rsidRDefault="005171C0" w:rsidP="00EB1CF2">
            <w:pPr>
              <w:jc w:val="center"/>
              <w:rPr>
                <w:b/>
                <w:bCs/>
                <w:noProof/>
              </w:rPr>
            </w:pPr>
            <w:r>
              <w:rPr>
                <w:b/>
                <w:bCs/>
              </w:rPr>
              <w:t>FLOWTAST, an innovative feature on the TOP 842 C</w:t>
            </w:r>
          </w:p>
        </w:tc>
        <w:tc>
          <w:tcPr>
            <w:tcW w:w="3512" w:type="dxa"/>
          </w:tcPr>
          <w:p w14:paraId="7121F4FE" w14:textId="1D24C517" w:rsidR="00EB1CF2" w:rsidRPr="00EB1CF2" w:rsidRDefault="00EB1CF2" w:rsidP="00EB1CF2">
            <w:pPr>
              <w:jc w:val="center"/>
              <w:rPr>
                <w:b/>
                <w:bCs/>
                <w:noProof/>
              </w:rPr>
            </w:pPr>
            <w:r>
              <w:rPr>
                <w:b/>
                <w:bCs/>
                <w:szCs w:val="22"/>
              </w:rPr>
              <w:t>Gliding and tracking with the FLOWTAST glide bar</w:t>
            </w:r>
          </w:p>
        </w:tc>
        <w:tc>
          <w:tcPr>
            <w:tcW w:w="2436" w:type="dxa"/>
          </w:tcPr>
          <w:p w14:paraId="3EC0A44B" w14:textId="6CED22B5" w:rsidR="00EB1CF2" w:rsidRPr="00EB1CF2" w:rsidRDefault="00EB1CF2" w:rsidP="00EB1CF2">
            <w:pPr>
              <w:ind w:left="-71"/>
              <w:jc w:val="center"/>
              <w:rPr>
                <w:rFonts w:cs="Arial"/>
                <w:b/>
                <w:bCs/>
                <w:sz w:val="24"/>
                <w:szCs w:val="22"/>
              </w:rPr>
            </w:pPr>
            <w:r>
              <w:rPr>
                <w:b/>
                <w:bCs/>
                <w:szCs w:val="22"/>
              </w:rPr>
              <w:t>Uniform, full-surface ground tracking</w:t>
            </w:r>
          </w:p>
        </w:tc>
      </w:tr>
      <w:tr w:rsidR="00EB1CF2" w:rsidRPr="003A13A7" w14:paraId="0AED31AC" w14:textId="77777777" w:rsidTr="00720AA9">
        <w:tc>
          <w:tcPr>
            <w:tcW w:w="3114" w:type="dxa"/>
          </w:tcPr>
          <w:p w14:paraId="4002D4EB" w14:textId="4693F99F" w:rsidR="00EB1CF2" w:rsidRPr="00EB1CF2" w:rsidRDefault="00716D04" w:rsidP="00EB1CF2">
            <w:pPr>
              <w:jc w:val="both"/>
              <w:rPr>
                <w:rFonts w:cs="Arial"/>
                <w:sz w:val="20"/>
                <w:szCs w:val="20"/>
              </w:rPr>
            </w:pPr>
            <w:hyperlink r:id="rId10" w:history="1">
              <w:r w:rsidR="003A13A7">
                <w:rPr>
                  <w:color w:val="0000FF"/>
                  <w:sz w:val="20"/>
                  <w:szCs w:val="20"/>
                  <w:u w:val="single"/>
                </w:rPr>
                <w:t>https://www.poettinger.at/de_at/Newsroom/Pressebild/4582</w:t>
              </w:r>
            </w:hyperlink>
          </w:p>
        </w:tc>
        <w:tc>
          <w:tcPr>
            <w:tcW w:w="3512" w:type="dxa"/>
          </w:tcPr>
          <w:p w14:paraId="3239B637" w14:textId="35464234" w:rsidR="00EB1CF2" w:rsidRDefault="00716D04" w:rsidP="00EB1CF2">
            <w:pPr>
              <w:jc w:val="both"/>
              <w:rPr>
                <w:rFonts w:cs="Arial"/>
                <w:sz w:val="20"/>
                <w:szCs w:val="20"/>
              </w:rPr>
            </w:pPr>
            <w:hyperlink r:id="rId11" w:history="1">
              <w:r w:rsidR="003A13A7">
                <w:rPr>
                  <w:rStyle w:val="Hyperlink"/>
                  <w:sz w:val="20"/>
                  <w:szCs w:val="20"/>
                </w:rPr>
                <w:t>https://www.poettinger.at/de_at/Newsroom/Pressebild/4583</w:t>
              </w:r>
            </w:hyperlink>
          </w:p>
          <w:p w14:paraId="47AF1C7A" w14:textId="4F3EAB2D" w:rsidR="00720AA9" w:rsidRPr="00EB1CF2" w:rsidRDefault="00720AA9" w:rsidP="00EB1CF2">
            <w:pPr>
              <w:jc w:val="both"/>
              <w:rPr>
                <w:rFonts w:cs="Arial"/>
                <w:sz w:val="20"/>
                <w:szCs w:val="20"/>
                <w:lang w:val="de-DE"/>
              </w:rPr>
            </w:pPr>
          </w:p>
        </w:tc>
        <w:tc>
          <w:tcPr>
            <w:tcW w:w="2436" w:type="dxa"/>
          </w:tcPr>
          <w:p w14:paraId="23E45DBF" w14:textId="01B5B06E" w:rsidR="00EB1CF2" w:rsidRPr="00720AA9" w:rsidRDefault="00716D04" w:rsidP="00EB1CF2">
            <w:pPr>
              <w:jc w:val="both"/>
              <w:rPr>
                <w:rFonts w:cs="Arial"/>
                <w:sz w:val="20"/>
                <w:szCs w:val="20"/>
              </w:rPr>
            </w:pPr>
            <w:hyperlink r:id="rId12" w:history="1">
              <w:r w:rsidR="003A13A7">
                <w:rPr>
                  <w:color w:val="0000FF"/>
                  <w:sz w:val="20"/>
                  <w:szCs w:val="20"/>
                  <w:u w:val="single"/>
                </w:rPr>
                <w:t>https://www.poettinger.at/de_at/Newsroom/Pressebild/4584</w:t>
              </w:r>
            </w:hyperlink>
          </w:p>
        </w:tc>
      </w:tr>
    </w:tbl>
    <w:p w14:paraId="4ED5F077" w14:textId="77777777" w:rsidR="00EB1CF2" w:rsidRDefault="00EB1CF2" w:rsidP="00F514CE">
      <w:pPr>
        <w:spacing w:line="360" w:lineRule="auto"/>
        <w:jc w:val="both"/>
        <w:rPr>
          <w:rFonts w:cs="Arial"/>
          <w:b/>
          <w:sz w:val="24"/>
          <w:szCs w:val="22"/>
          <w:lang w:val="de-DE"/>
        </w:rPr>
      </w:pPr>
    </w:p>
    <w:p w14:paraId="3E19C571" w14:textId="77777777" w:rsidR="00F514CE" w:rsidRPr="00EB1CF2" w:rsidRDefault="00F514CE" w:rsidP="00F514CE">
      <w:pPr>
        <w:spacing w:line="360" w:lineRule="auto"/>
        <w:jc w:val="both"/>
        <w:rPr>
          <w:rFonts w:cs="Arial"/>
          <w:szCs w:val="22"/>
          <w:lang w:val="de-DE"/>
        </w:rPr>
      </w:pPr>
    </w:p>
    <w:p w14:paraId="7DB84BBA" w14:textId="77777777" w:rsidR="00CB2D2C" w:rsidRPr="00CB2D2C" w:rsidRDefault="00CB2D2C" w:rsidP="007B12BD">
      <w:pPr>
        <w:jc w:val="both"/>
        <w:rPr>
          <w:rFonts w:cs="Arial"/>
          <w:sz w:val="24"/>
          <w:szCs w:val="22"/>
        </w:rPr>
      </w:pPr>
      <w:r>
        <w:rPr>
          <w:sz w:val="24"/>
          <w:szCs w:val="22"/>
        </w:rPr>
        <w:t>More printer-optimised photos: http://www.poettinger.at/presse</w:t>
      </w:r>
    </w:p>
    <w:p w14:paraId="223E09F2" w14:textId="77777777" w:rsidR="00CB2D2C" w:rsidRPr="00CB2D2C" w:rsidRDefault="00CB2D2C" w:rsidP="00F514CE">
      <w:pPr>
        <w:spacing w:line="360" w:lineRule="auto"/>
        <w:jc w:val="both"/>
        <w:rPr>
          <w:rFonts w:cs="Arial"/>
          <w:szCs w:val="22"/>
          <w:lang w:val="de-AT"/>
        </w:rPr>
      </w:pPr>
    </w:p>
    <w:sectPr w:rsidR="00CB2D2C" w:rsidRPr="00CB2D2C" w:rsidSect="00A92099">
      <w:headerReference w:type="default" r:id="rId13"/>
      <w:footerReference w:type="default" r:id="rId14"/>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7C4FD" w14:textId="77777777" w:rsidR="00A340C3" w:rsidRDefault="00A340C3" w:rsidP="00A92099">
      <w:r>
        <w:separator/>
      </w:r>
    </w:p>
  </w:endnote>
  <w:endnote w:type="continuationSeparator" w:id="0">
    <w:p w14:paraId="451522C6" w14:textId="77777777" w:rsidR="00A340C3" w:rsidRDefault="00A340C3"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W1G-L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B9BC1" w14:textId="77777777" w:rsidR="00796525" w:rsidRPr="00796525" w:rsidRDefault="00796525" w:rsidP="00F514CE">
    <w:pPr>
      <w:rPr>
        <w:rFonts w:cs="Arial"/>
        <w:b/>
        <w:sz w:val="18"/>
        <w:szCs w:val="18"/>
        <w:lang w:val="de-DE"/>
      </w:rPr>
    </w:pPr>
  </w:p>
  <w:p w14:paraId="483302E5" w14:textId="77777777" w:rsidR="00C87299" w:rsidRDefault="00C87299" w:rsidP="00C87299">
    <w:pPr>
      <w:rPr>
        <w:rFonts w:cs="Arial"/>
        <w:b/>
        <w:sz w:val="18"/>
        <w:szCs w:val="18"/>
      </w:rPr>
    </w:pPr>
    <w:r>
      <w:rPr>
        <w:b/>
        <w:sz w:val="18"/>
        <w:szCs w:val="18"/>
      </w:rPr>
      <w:t>PÖTTINGER Landtechnik GmbH - Corporate communication</w:t>
    </w:r>
  </w:p>
  <w:p w14:paraId="6802E57A" w14:textId="77777777" w:rsidR="00F05C97" w:rsidRPr="00796525" w:rsidRDefault="00F05C97" w:rsidP="00F514CE">
    <w:pPr>
      <w:rPr>
        <w:rFonts w:cs="Arial"/>
        <w:sz w:val="18"/>
        <w:szCs w:val="18"/>
      </w:rPr>
    </w:pPr>
    <w:r>
      <w:rPr>
        <w:sz w:val="18"/>
        <w:szCs w:val="18"/>
      </w:rPr>
      <w:t>Inge Steibl, Industriegelände 1, A-4710 Grieskirchen</w:t>
    </w:r>
  </w:p>
  <w:p w14:paraId="522A74CD" w14:textId="287B0F7B" w:rsidR="00F05C97" w:rsidRPr="00796525" w:rsidRDefault="00F05C97" w:rsidP="00F514CE">
    <w:pPr>
      <w:rPr>
        <w:rFonts w:cs="Arial"/>
        <w:sz w:val="18"/>
        <w:szCs w:val="18"/>
      </w:rPr>
    </w:pPr>
    <w:r>
      <w:rPr>
        <w:sz w:val="18"/>
        <w:szCs w:val="18"/>
      </w:rPr>
      <w:t xml:space="preserve">Phone: +43 7248/600-2415, Email: </w:t>
    </w:r>
    <w:hyperlink r:id="rId1" w:history="1">
      <w:r>
        <w:rPr>
          <w:sz w:val="18"/>
          <w:szCs w:val="18"/>
        </w:rPr>
        <w:t>inge.steibl@poettinger.at</w:t>
      </w:r>
    </w:hyperlink>
    <w:r>
      <w:rPr>
        <w:sz w:val="18"/>
        <w:szCs w:val="18"/>
      </w:rPr>
      <w:t xml:space="preserve">, </w:t>
    </w:r>
    <w:hyperlink r:id="rId2" w:history="1">
      <w:r>
        <w:rPr>
          <w:sz w:val="18"/>
          <w:szCs w:val="18"/>
        </w:rPr>
        <w:t>www.poettinger.at</w:t>
      </w:r>
    </w:hyperlink>
    <w:r>
      <w:rPr>
        <w:sz w:val="18"/>
        <w:szCs w:val="18"/>
      </w:rPr>
      <w:tab/>
    </w:r>
    <w:r>
      <w:rPr>
        <w:sz w:val="18"/>
        <w:szCs w:val="18"/>
      </w:rPr>
      <w:tab/>
      <w:t xml:space="preserve">                                  </w:t>
    </w:r>
    <w:r w:rsidR="00F07A05" w:rsidRPr="00AB6584">
      <w:rPr>
        <w:rFonts w:cs="Arial"/>
        <w:sz w:val="18"/>
        <w:szCs w:val="18"/>
      </w:rPr>
      <w:fldChar w:fldCharType="begin"/>
    </w:r>
    <w:r w:rsidR="00AB6584" w:rsidRPr="00AB6584">
      <w:rPr>
        <w:rFonts w:cs="Arial"/>
        <w:sz w:val="18"/>
        <w:szCs w:val="18"/>
      </w:rPr>
      <w:instrText xml:space="preserve"> PAGE   \* MERGEFORMAT </w:instrText>
    </w:r>
    <w:r w:rsidR="00F07A05" w:rsidRPr="00AB6584">
      <w:rPr>
        <w:rFonts w:cs="Arial"/>
        <w:sz w:val="18"/>
        <w:szCs w:val="18"/>
      </w:rPr>
      <w:fldChar w:fldCharType="separate"/>
    </w:r>
    <w:r w:rsidR="00801CDD">
      <w:rPr>
        <w:rFonts w:cs="Arial"/>
        <w:sz w:val="18"/>
        <w:szCs w:val="18"/>
      </w:rPr>
      <w:t>2</w:t>
    </w:r>
    <w:r w:rsidR="00F07A05" w:rsidRPr="00AB6584">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009B0" w14:textId="77777777" w:rsidR="00A340C3" w:rsidRDefault="00A340C3" w:rsidP="00A92099">
      <w:r>
        <w:separator/>
      </w:r>
    </w:p>
  </w:footnote>
  <w:footnote w:type="continuationSeparator" w:id="0">
    <w:p w14:paraId="6596C52E" w14:textId="77777777" w:rsidR="00A340C3" w:rsidRDefault="00A340C3"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DFAE2" w14:textId="6DC74598" w:rsidR="0033632A" w:rsidRDefault="0033632A" w:rsidP="00F2555A">
    <w:pPr>
      <w:spacing w:line="360" w:lineRule="auto"/>
      <w:rPr>
        <w:rFonts w:cs="Arial"/>
        <w:sz w:val="24"/>
        <w:lang w:val="de-DE"/>
      </w:rPr>
    </w:pPr>
  </w:p>
  <w:p w14:paraId="2A53F170" w14:textId="01893EA7" w:rsidR="0033632A" w:rsidRDefault="00CB2D2C" w:rsidP="00796525">
    <w:pPr>
      <w:tabs>
        <w:tab w:val="left" w:pos="8265"/>
      </w:tabs>
      <w:spacing w:line="360" w:lineRule="auto"/>
      <w:rPr>
        <w:rFonts w:cs="Arial"/>
        <w:b/>
        <w:sz w:val="24"/>
      </w:rPr>
    </w:pPr>
    <w:r>
      <w:rPr>
        <w:b/>
        <w:sz w:val="24"/>
      </w:rPr>
      <w:t xml:space="preserve">Press Release                                                  </w:t>
    </w:r>
    <w:r>
      <w:rPr>
        <w:noProof/>
      </w:rPr>
      <w:drawing>
        <wp:inline distT="0" distB="0" distL="0" distR="0" wp14:anchorId="0CA5ABAE" wp14:editId="4AB7F067">
          <wp:extent cx="2186449" cy="228600"/>
          <wp:effectExtent l="19050" t="0" r="4301"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71620CC2" w14:textId="77777777" w:rsidR="00796525" w:rsidRPr="00563BB7" w:rsidRDefault="00796525" w:rsidP="0033632A">
    <w:pPr>
      <w:spacing w:line="360" w:lineRule="auto"/>
      <w:rPr>
        <w:rFonts w:cs="Arial"/>
        <w:b/>
        <w:sz w:val="24"/>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FE"/>
    <w:rsid w:val="0000763A"/>
    <w:rsid w:val="0013612A"/>
    <w:rsid w:val="001A7EDC"/>
    <w:rsid w:val="001E09FE"/>
    <w:rsid w:val="001E7FD1"/>
    <w:rsid w:val="00214F8E"/>
    <w:rsid w:val="00332295"/>
    <w:rsid w:val="0033632A"/>
    <w:rsid w:val="003879E1"/>
    <w:rsid w:val="003A13A7"/>
    <w:rsid w:val="003A6B12"/>
    <w:rsid w:val="003B6E17"/>
    <w:rsid w:val="00433AD0"/>
    <w:rsid w:val="00475180"/>
    <w:rsid w:val="00475F1D"/>
    <w:rsid w:val="004A4D6F"/>
    <w:rsid w:val="004D51C0"/>
    <w:rsid w:val="005039B8"/>
    <w:rsid w:val="005171C0"/>
    <w:rsid w:val="00553987"/>
    <w:rsid w:val="00563BB7"/>
    <w:rsid w:val="005E6C6F"/>
    <w:rsid w:val="006A4259"/>
    <w:rsid w:val="006E3FB2"/>
    <w:rsid w:val="006F5D8B"/>
    <w:rsid w:val="00716D04"/>
    <w:rsid w:val="00720AA9"/>
    <w:rsid w:val="0078756F"/>
    <w:rsid w:val="00796525"/>
    <w:rsid w:val="007A19D3"/>
    <w:rsid w:val="007A7697"/>
    <w:rsid w:val="007B12BD"/>
    <w:rsid w:val="007B4598"/>
    <w:rsid w:val="007C745B"/>
    <w:rsid w:val="00801CDD"/>
    <w:rsid w:val="0081122D"/>
    <w:rsid w:val="00850266"/>
    <w:rsid w:val="008857FE"/>
    <w:rsid w:val="008B2747"/>
    <w:rsid w:val="00930D86"/>
    <w:rsid w:val="00965677"/>
    <w:rsid w:val="009D2DFE"/>
    <w:rsid w:val="00A340C3"/>
    <w:rsid w:val="00A53612"/>
    <w:rsid w:val="00A622F7"/>
    <w:rsid w:val="00A65772"/>
    <w:rsid w:val="00A74C97"/>
    <w:rsid w:val="00A92099"/>
    <w:rsid w:val="00AA0FD7"/>
    <w:rsid w:val="00AB6584"/>
    <w:rsid w:val="00AC3755"/>
    <w:rsid w:val="00AF3C1D"/>
    <w:rsid w:val="00B172F3"/>
    <w:rsid w:val="00B21477"/>
    <w:rsid w:val="00B311A1"/>
    <w:rsid w:val="00B56001"/>
    <w:rsid w:val="00BB1E8B"/>
    <w:rsid w:val="00C05FE5"/>
    <w:rsid w:val="00C22754"/>
    <w:rsid w:val="00C34B4D"/>
    <w:rsid w:val="00C45D83"/>
    <w:rsid w:val="00C537EE"/>
    <w:rsid w:val="00C87299"/>
    <w:rsid w:val="00C96664"/>
    <w:rsid w:val="00CA6633"/>
    <w:rsid w:val="00CB2C5F"/>
    <w:rsid w:val="00CB2D2C"/>
    <w:rsid w:val="00CD0EAF"/>
    <w:rsid w:val="00CE2581"/>
    <w:rsid w:val="00DB042E"/>
    <w:rsid w:val="00DD1F48"/>
    <w:rsid w:val="00E663BF"/>
    <w:rsid w:val="00E734F0"/>
    <w:rsid w:val="00EB1CF2"/>
    <w:rsid w:val="00EF046D"/>
    <w:rsid w:val="00F05C97"/>
    <w:rsid w:val="00F07A05"/>
    <w:rsid w:val="00F2555A"/>
    <w:rsid w:val="00F514CE"/>
    <w:rsid w:val="00F523EB"/>
    <w:rsid w:val="00F560CC"/>
    <w:rsid w:val="00F96407"/>
    <w:rsid w:val="00FB4F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87C9A"/>
  <w15:docId w15:val="{81EEE012-6533-4789-BDA1-4D7898EE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en-GB"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character" w:styleId="NichtaufgelsteErwhnung">
    <w:name w:val="Unresolved Mention"/>
    <w:basedOn w:val="Absatz-Standardschriftart"/>
    <w:uiPriority w:val="99"/>
    <w:semiHidden/>
    <w:unhideWhenUsed/>
    <w:rsid w:val="00720AA9"/>
    <w:rPr>
      <w:color w:val="605E5C"/>
      <w:shd w:val="clear" w:color="auto" w:fill="E1DFDD"/>
    </w:rPr>
  </w:style>
  <w:style w:type="character" w:styleId="Kommentarzeichen">
    <w:name w:val="annotation reference"/>
    <w:basedOn w:val="Absatz-Standardschriftart"/>
    <w:uiPriority w:val="99"/>
    <w:semiHidden/>
    <w:unhideWhenUsed/>
    <w:rsid w:val="00CE2581"/>
    <w:rPr>
      <w:sz w:val="16"/>
      <w:szCs w:val="16"/>
    </w:rPr>
  </w:style>
  <w:style w:type="paragraph" w:styleId="Kommentartext">
    <w:name w:val="annotation text"/>
    <w:basedOn w:val="Standard"/>
    <w:link w:val="KommentartextZchn"/>
    <w:uiPriority w:val="99"/>
    <w:semiHidden/>
    <w:unhideWhenUsed/>
    <w:rsid w:val="00CE2581"/>
    <w:rPr>
      <w:sz w:val="20"/>
      <w:szCs w:val="20"/>
    </w:rPr>
  </w:style>
  <w:style w:type="character" w:customStyle="1" w:styleId="KommentartextZchn">
    <w:name w:val="Kommentartext Zchn"/>
    <w:basedOn w:val="Absatz-Standardschriftart"/>
    <w:link w:val="Kommentartext"/>
    <w:uiPriority w:val="99"/>
    <w:semiHidden/>
    <w:rsid w:val="00CE2581"/>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CE2581"/>
    <w:rPr>
      <w:b/>
      <w:bCs/>
    </w:rPr>
  </w:style>
  <w:style w:type="character" w:customStyle="1" w:styleId="KommentarthemaZchn">
    <w:name w:val="Kommentarthema Zchn"/>
    <w:basedOn w:val="KommentartextZchn"/>
    <w:link w:val="Kommentarthema"/>
    <w:uiPriority w:val="99"/>
    <w:semiHidden/>
    <w:rsid w:val="00CE2581"/>
    <w:rPr>
      <w:rFonts w:ascii="Arial" w:hAnsi="Arial"/>
      <w:b/>
      <w:bCs/>
      <w:lang w:val="en-GB" w:eastAsia="en-US"/>
    </w:rPr>
  </w:style>
  <w:style w:type="paragraph" w:customStyle="1" w:styleId="CP">
    <w:name w:val="CP"/>
    <w:basedOn w:val="Standard"/>
    <w:next w:val="Standard"/>
    <w:uiPriority w:val="99"/>
    <w:rsid w:val="005E6C6F"/>
    <w:pPr>
      <w:tabs>
        <w:tab w:val="left" w:pos="170"/>
        <w:tab w:val="right" w:pos="3969"/>
      </w:tabs>
      <w:suppressAutoHyphens/>
      <w:autoSpaceDE w:val="0"/>
      <w:autoSpaceDN w:val="0"/>
      <w:adjustRightInd w:val="0"/>
      <w:spacing w:line="230" w:lineRule="atLeast"/>
      <w:textAlignment w:val="center"/>
    </w:pPr>
    <w:rPr>
      <w:rFonts w:ascii="HelveticaNeueLTW1G-Lt" w:hAnsi="HelveticaNeueLTW1G-Lt" w:cs="HelveticaNeueLTW1G-Lt"/>
      <w:color w:val="000000"/>
      <w:spacing w:val="2"/>
      <w:sz w:val="18"/>
      <w:szCs w:val="18"/>
      <w:lang w:eastAsia="de-DE"/>
    </w:rPr>
  </w:style>
  <w:style w:type="paragraph" w:customStyle="1" w:styleId="BP">
    <w:name w:val="BP"/>
    <w:basedOn w:val="CP"/>
    <w:uiPriority w:val="99"/>
    <w:rsid w:val="005E6C6F"/>
    <w:pPr>
      <w:tabs>
        <w:tab w:val="clear" w:pos="170"/>
        <w:tab w:val="left" w:pos="283"/>
      </w:tabs>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51873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poettinger.at/de_at/Newsroom/Pressebild/458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oettinger.at/de_at/Newsroom/Pressebild/458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oettinger.at/de_at/Newsroom/Pressebild/4582"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1BCDC6-82A3-49B6-8AA0-A480A45F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FA8A5D0C.dotm</Template>
  <TotalTime>0</TotalTime>
  <Pages>2</Pages>
  <Words>394</Words>
  <Characters>2486</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FLOWTAST</vt:lpstr>
    </vt:vector>
  </TitlesOfParts>
  <Company>PÖTTINGER Landtechnik GmbH</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FLOWTAST</dc:title>
  <dc:creator>steiing</dc:creator>
  <cp:lastModifiedBy>Steibl Inge</cp:lastModifiedBy>
  <cp:revision>2</cp:revision>
  <dcterms:created xsi:type="dcterms:W3CDTF">2020-10-06T07:17:00Z</dcterms:created>
  <dcterms:modified xsi:type="dcterms:W3CDTF">2020-10-06T07:17:00Z</dcterms:modified>
</cp:coreProperties>
</file>