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A3B70" w14:textId="595396FA" w:rsidR="002F3A42" w:rsidRPr="002F3A42" w:rsidRDefault="00847504" w:rsidP="00305161">
      <w:pPr>
        <w:spacing w:line="360" w:lineRule="auto"/>
        <w:rPr>
          <w:rFonts w:cs="Arial"/>
          <w:color w:val="808080" w:themeColor="background1" w:themeShade="80"/>
          <w:sz w:val="32"/>
          <w:szCs w:val="32"/>
        </w:rPr>
      </w:pPr>
      <w:r>
        <w:rPr>
          <w:color w:val="808080" w:themeColor="background1" w:themeShade="80"/>
          <w:sz w:val="32"/>
          <w:szCs w:val="32"/>
        </w:rPr>
        <w:t>Annual report</w:t>
      </w:r>
    </w:p>
    <w:p w14:paraId="06078F98" w14:textId="77777777" w:rsidR="00847504" w:rsidRDefault="00847504" w:rsidP="00CA2767">
      <w:pPr>
        <w:spacing w:line="360" w:lineRule="auto"/>
        <w:rPr>
          <w:rFonts w:cs="Arial"/>
          <w:sz w:val="36"/>
          <w:szCs w:val="36"/>
        </w:rPr>
      </w:pPr>
      <w:r>
        <w:rPr>
          <w:sz w:val="36"/>
          <w:szCs w:val="36"/>
        </w:rPr>
        <w:t xml:space="preserve">Pöttinger: </w:t>
      </w:r>
    </w:p>
    <w:p w14:paraId="53C6C7B6" w14:textId="6B1C6467" w:rsidR="004E4CB3" w:rsidRPr="006A27C9" w:rsidRDefault="00CB1A03" w:rsidP="00CA2767">
      <w:pPr>
        <w:spacing w:line="360" w:lineRule="auto"/>
        <w:rPr>
          <w:rFonts w:cs="Arial"/>
          <w:sz w:val="38"/>
          <w:szCs w:val="38"/>
        </w:rPr>
      </w:pPr>
      <w:r w:rsidRPr="006A27C9">
        <w:rPr>
          <w:sz w:val="38"/>
          <w:szCs w:val="38"/>
        </w:rPr>
        <w:t>Satisfactory business performance during crisis year</w:t>
      </w:r>
    </w:p>
    <w:p w14:paraId="1F1A5AEB" w14:textId="0CF8E51D" w:rsidR="00E84299" w:rsidRPr="00CC4485" w:rsidRDefault="0000132E" w:rsidP="001B0846">
      <w:pPr>
        <w:spacing w:line="360" w:lineRule="auto"/>
        <w:jc w:val="both"/>
        <w:rPr>
          <w:rFonts w:cs="Arial"/>
          <w:sz w:val="24"/>
        </w:rPr>
      </w:pPr>
      <w:r>
        <w:rPr>
          <w:sz w:val="24"/>
        </w:rPr>
        <w:t>Pöttinger, t</w:t>
      </w:r>
      <w:r w:rsidR="00E84299">
        <w:rPr>
          <w:sz w:val="24"/>
        </w:rPr>
        <w:t xml:space="preserve">he agricultural machinery manufacturer generated </w:t>
      </w:r>
      <w:r>
        <w:rPr>
          <w:sz w:val="24"/>
        </w:rPr>
        <w:t xml:space="preserve">in the business year 2019/2020 </w:t>
      </w:r>
      <w:bookmarkStart w:id="0" w:name="_GoBack"/>
      <w:r w:rsidR="00E84299" w:rsidRPr="00CC4485">
        <w:rPr>
          <w:sz w:val="24"/>
        </w:rPr>
        <w:t xml:space="preserve">sales of EUR 366 million, the second highest volume in business since the company was founded. Although this represents a downturn of 4 per cent compared to the record result of the previous year, it is an increase of more than 3 per cent compared to two years ago. The proportion generated on international markets is around 90 percent. This high degree of internationalisation is thanks to the 1,901 highly trained and dedicated employees, the innovative product range and extensive investments. </w:t>
      </w:r>
    </w:p>
    <w:p w14:paraId="15D62096" w14:textId="6D2442F5" w:rsidR="0037414C" w:rsidRPr="00CC4485" w:rsidRDefault="00DE2E1D" w:rsidP="00F3189E">
      <w:pPr>
        <w:spacing w:line="360" w:lineRule="auto"/>
        <w:jc w:val="both"/>
        <w:rPr>
          <w:rFonts w:cs="Arial"/>
          <w:iCs/>
          <w:sz w:val="24"/>
          <w:szCs w:val="22"/>
          <w:lang w:val="en-US"/>
        </w:rPr>
      </w:pPr>
      <w:r w:rsidRPr="00CC4485">
        <w:rPr>
          <w:iCs/>
          <w:sz w:val="24"/>
          <w:szCs w:val="22"/>
          <w:u w:val="single"/>
        </w:rPr>
        <w:t>Grassland equipment</w:t>
      </w:r>
      <w:r w:rsidRPr="00CC4485">
        <w:rPr>
          <w:iCs/>
          <w:sz w:val="24"/>
          <w:szCs w:val="22"/>
        </w:rPr>
        <w:t xml:space="preserve"> accounts for around 70 percent of total machine sales during this financial year, while </w:t>
      </w:r>
      <w:r w:rsidRPr="00CC4485">
        <w:rPr>
          <w:iCs/>
          <w:sz w:val="24"/>
          <w:szCs w:val="22"/>
          <w:u w:val="single"/>
        </w:rPr>
        <w:t xml:space="preserve">tillage equipment and seed drill technology </w:t>
      </w:r>
      <w:r w:rsidRPr="00CC4485">
        <w:rPr>
          <w:iCs/>
          <w:sz w:val="24"/>
          <w:szCs w:val="22"/>
        </w:rPr>
        <w:t xml:space="preserve">account for just under 30 percent of the turnover pie. </w:t>
      </w:r>
      <w:r w:rsidR="0078514E" w:rsidRPr="00CC4485">
        <w:rPr>
          <w:iCs/>
          <w:sz w:val="24"/>
          <w:szCs w:val="22"/>
        </w:rPr>
        <w:t xml:space="preserve">Pöttinger was able to maintain efficiency in service and spare parts business even during the crisis. Growth in spare parts sales is </w:t>
      </w:r>
      <w:r w:rsidR="00360CD1" w:rsidRPr="00CC4485">
        <w:rPr>
          <w:iCs/>
          <w:sz w:val="24"/>
          <w:szCs w:val="22"/>
        </w:rPr>
        <w:t xml:space="preserve">7 percent. </w:t>
      </w:r>
    </w:p>
    <w:p w14:paraId="710408E6" w14:textId="77777777" w:rsidR="004F7D2F" w:rsidRPr="00CC4485" w:rsidRDefault="004F7D2F">
      <w:pPr>
        <w:rPr>
          <w:rFonts w:cs="Arial"/>
          <w:iCs/>
          <w:sz w:val="24"/>
          <w:szCs w:val="22"/>
          <w:lang w:val="en-US"/>
        </w:rPr>
      </w:pPr>
    </w:p>
    <w:p w14:paraId="60836AA2" w14:textId="48C762C4" w:rsidR="00467385" w:rsidRPr="00CC4485" w:rsidRDefault="00360CD1" w:rsidP="00BF1549">
      <w:pPr>
        <w:spacing w:line="360" w:lineRule="auto"/>
        <w:jc w:val="both"/>
        <w:rPr>
          <w:rFonts w:cs="Arial"/>
          <w:iCs/>
          <w:sz w:val="24"/>
          <w:szCs w:val="22"/>
        </w:rPr>
      </w:pPr>
      <w:r w:rsidRPr="00CC4485">
        <w:rPr>
          <w:iCs/>
          <w:sz w:val="24"/>
          <w:szCs w:val="22"/>
        </w:rPr>
        <w:t xml:space="preserve">Almost 60 percent of total sales is achieved in </w:t>
      </w:r>
      <w:r w:rsidRPr="00CC4485">
        <w:rPr>
          <w:iCs/>
          <w:sz w:val="24"/>
          <w:szCs w:val="22"/>
          <w:u w:val="single"/>
        </w:rPr>
        <w:t>Germany, France, Austria, Poland, Czech Republic and Switzerland</w:t>
      </w:r>
      <w:r w:rsidRPr="00CC4485">
        <w:rPr>
          <w:iCs/>
          <w:sz w:val="24"/>
          <w:szCs w:val="22"/>
        </w:rPr>
        <w:t xml:space="preserve">. Germany with a turnover share of 19 percent and France with 15 percent are again the largest single markets. Fortunately, sales in both markets remained more or less constant over the past financial year. </w:t>
      </w:r>
    </w:p>
    <w:p w14:paraId="53C5B584" w14:textId="0E77F2EC" w:rsidR="00BF62CD" w:rsidRPr="00CC4485" w:rsidRDefault="00BF62CD" w:rsidP="00BF1549">
      <w:pPr>
        <w:spacing w:line="360" w:lineRule="auto"/>
        <w:jc w:val="both"/>
        <w:rPr>
          <w:rFonts w:cs="Arial"/>
          <w:iCs/>
          <w:sz w:val="24"/>
          <w:szCs w:val="22"/>
        </w:rPr>
      </w:pPr>
      <w:r w:rsidRPr="00CC4485">
        <w:rPr>
          <w:iCs/>
          <w:sz w:val="24"/>
          <w:szCs w:val="22"/>
        </w:rPr>
        <w:t xml:space="preserve">Austria accounted for 10 percent of total sales in the past financial year. Alongside Germany and France, Austria is still one of the strongest markets. Compared to the previous year, however, the share of total sales remained the same. </w:t>
      </w:r>
    </w:p>
    <w:p w14:paraId="1488B6F8" w14:textId="16E7ECC8" w:rsidR="000E636D" w:rsidRPr="00CC4485" w:rsidRDefault="00675D9F" w:rsidP="00BF1549">
      <w:pPr>
        <w:spacing w:line="360" w:lineRule="auto"/>
        <w:jc w:val="both"/>
        <w:rPr>
          <w:rFonts w:cs="Arial"/>
          <w:iCs/>
          <w:sz w:val="24"/>
          <w:szCs w:val="22"/>
        </w:rPr>
      </w:pPr>
      <w:r w:rsidRPr="00CC4485">
        <w:rPr>
          <w:iCs/>
          <w:sz w:val="24"/>
          <w:szCs w:val="22"/>
        </w:rPr>
        <w:t xml:space="preserve">The downturn caused by the Covid-19 pandemic in some European countries was partially offset by increases in machine sales further afield: Australia with + 68 percent and the USA with + 67 percent are the absolute leaders here. Also among the contenders for the title of "sales growth winner" are European countries such as Belgium, Denmark and Sweden, as well as several CIS countries like Kazakhstan and Belarus, plus China and Japan. </w:t>
      </w:r>
    </w:p>
    <w:p w14:paraId="1772E159" w14:textId="701EE006" w:rsidR="00D04BBB" w:rsidRPr="00CC4485" w:rsidRDefault="00D04BBB" w:rsidP="00D04BBB">
      <w:pPr>
        <w:jc w:val="both"/>
        <w:rPr>
          <w:rFonts w:cs="Arial"/>
          <w:lang w:val="en-US"/>
        </w:rPr>
      </w:pPr>
    </w:p>
    <w:p w14:paraId="0E404349" w14:textId="5557929A" w:rsidR="002F3A42" w:rsidRPr="00CC4485" w:rsidRDefault="008A078D" w:rsidP="00FB5247">
      <w:pPr>
        <w:spacing w:line="360" w:lineRule="auto"/>
        <w:jc w:val="both"/>
        <w:rPr>
          <w:rFonts w:cs="Arial"/>
          <w:iCs/>
          <w:sz w:val="28"/>
          <w:szCs w:val="28"/>
        </w:rPr>
      </w:pPr>
      <w:r w:rsidRPr="00CC4485">
        <w:rPr>
          <w:iCs/>
          <w:sz w:val="28"/>
          <w:szCs w:val="28"/>
        </w:rPr>
        <w:lastRenderedPageBreak/>
        <w:t xml:space="preserve">We remain optimistic because everyone needs agriculture </w:t>
      </w:r>
    </w:p>
    <w:p w14:paraId="745B9AAD" w14:textId="433226D1" w:rsidR="000B0A02" w:rsidRPr="00CC4485" w:rsidRDefault="007C66EC" w:rsidP="00FB5247">
      <w:pPr>
        <w:spacing w:line="360" w:lineRule="auto"/>
        <w:jc w:val="both"/>
        <w:rPr>
          <w:rFonts w:cs="Arial"/>
          <w:iCs/>
          <w:sz w:val="24"/>
        </w:rPr>
      </w:pPr>
      <w:r w:rsidRPr="00CC4485">
        <w:rPr>
          <w:iCs/>
          <w:sz w:val="24"/>
        </w:rPr>
        <w:t xml:space="preserve">"Even though the wind has veered, we have continued to stick to the course we have set," said Gregor Dietachmayr, Spokesperson for the Management Team, commenting on the sustainable business strategy and adding; "With a team of such flexible and loyal employees and the partnership-based cooperation with our business partners all over the world, the company will continue to </w:t>
      </w:r>
      <w:r w:rsidR="006A27C9" w:rsidRPr="00CC4485">
        <w:rPr>
          <w:iCs/>
          <w:sz w:val="24"/>
        </w:rPr>
        <w:t>overcome the challenges</w:t>
      </w:r>
      <w:r w:rsidRPr="00CC4485">
        <w:rPr>
          <w:iCs/>
          <w:sz w:val="24"/>
        </w:rPr>
        <w:t xml:space="preserve"> </w:t>
      </w:r>
      <w:r w:rsidR="00D67012" w:rsidRPr="00CC4485">
        <w:rPr>
          <w:iCs/>
          <w:sz w:val="24"/>
        </w:rPr>
        <w:t xml:space="preserve">that await us </w:t>
      </w:r>
      <w:r w:rsidRPr="00CC4485">
        <w:rPr>
          <w:iCs/>
          <w:sz w:val="24"/>
        </w:rPr>
        <w:t xml:space="preserve">in the coming years." Being able to stick to the course is also thanks to the innovations in product features and in agricultural processes that have been introduced to deliver on the promise of ensuring the best working results. </w:t>
      </w:r>
    </w:p>
    <w:p w14:paraId="4882EAF3" w14:textId="10EFC451" w:rsidR="00914D81" w:rsidRDefault="00914D81" w:rsidP="00914D81">
      <w:pPr>
        <w:spacing w:line="360" w:lineRule="auto"/>
        <w:jc w:val="both"/>
        <w:rPr>
          <w:rFonts w:cs="Arial"/>
          <w:iCs/>
          <w:sz w:val="24"/>
        </w:rPr>
      </w:pPr>
      <w:r w:rsidRPr="00CC4485">
        <w:rPr>
          <w:iCs/>
          <w:sz w:val="24"/>
        </w:rPr>
        <w:t>Optimism that has stood the test of time remains firm "Our future lies in the creation of modern workplaces, in the further development of our digitalisation strategy, in the conservation of resources and in the cost effectiveness of our products. Nobody can seriously predict how things are going to develop at the moment. But we are hoping that the situation will improve towards the end of the calendar yea</w:t>
      </w:r>
      <w:bookmarkEnd w:id="0"/>
      <w:r>
        <w:rPr>
          <w:iCs/>
          <w:sz w:val="24"/>
        </w:rPr>
        <w:t xml:space="preserve">r," says Dietachmayr. </w:t>
      </w:r>
    </w:p>
    <w:p w14:paraId="76250F61" w14:textId="2CA6C952" w:rsidR="00580B80" w:rsidRDefault="00580B80">
      <w:pPr>
        <w:rPr>
          <w:rFonts w:cs="Arial"/>
          <w:iCs/>
          <w:sz w:val="24"/>
        </w:rPr>
      </w:pPr>
    </w:p>
    <w:p w14:paraId="31F55CF7" w14:textId="4FF38C5B" w:rsidR="00F40301" w:rsidRDefault="00F40301" w:rsidP="00F40301">
      <w:pPr>
        <w:spacing w:line="360" w:lineRule="auto"/>
        <w:jc w:val="both"/>
        <w:rPr>
          <w:rFonts w:cs="Arial"/>
          <w:b/>
          <w:sz w:val="24"/>
          <w:szCs w:val="22"/>
        </w:rPr>
      </w:pPr>
      <w:r>
        <w:rPr>
          <w:b/>
          <w:sz w:val="24"/>
          <w:szCs w:val="22"/>
        </w:rPr>
        <w:t>Photo preview:</w:t>
      </w:r>
    </w:p>
    <w:tbl>
      <w:tblPr>
        <w:tblStyle w:val="Tabellenraster"/>
        <w:tblW w:w="0" w:type="auto"/>
        <w:tblLook w:val="04A0" w:firstRow="1" w:lastRow="0" w:firstColumn="1" w:lastColumn="0" w:noHBand="0" w:noVBand="1"/>
      </w:tblPr>
      <w:tblGrid>
        <w:gridCol w:w="4485"/>
        <w:gridCol w:w="4577"/>
      </w:tblGrid>
      <w:tr w:rsidR="00A83FD5" w:rsidRPr="00A83FD5" w14:paraId="6161DF2D" w14:textId="77777777" w:rsidTr="00372948">
        <w:tc>
          <w:tcPr>
            <w:tcW w:w="4531" w:type="dxa"/>
          </w:tcPr>
          <w:p w14:paraId="137B74D6" w14:textId="77777777" w:rsidR="00F71653" w:rsidRPr="00F71653" w:rsidRDefault="00F71653" w:rsidP="00942D12">
            <w:pPr>
              <w:spacing w:line="360" w:lineRule="auto"/>
              <w:jc w:val="center"/>
              <w:rPr>
                <w:rFonts w:cs="Arial"/>
                <w:sz w:val="16"/>
                <w:szCs w:val="16"/>
                <w:lang w:val="de-DE"/>
              </w:rPr>
            </w:pPr>
          </w:p>
          <w:p w14:paraId="2CFC4500" w14:textId="689411CB" w:rsidR="00F40301" w:rsidRPr="00A83FD5" w:rsidRDefault="00942D12" w:rsidP="00942D12">
            <w:pPr>
              <w:spacing w:line="360" w:lineRule="auto"/>
              <w:jc w:val="center"/>
              <w:rPr>
                <w:rFonts w:cs="Arial"/>
                <w:b/>
                <w:color w:val="FF00FF"/>
                <w:sz w:val="24"/>
                <w:szCs w:val="22"/>
              </w:rPr>
            </w:pPr>
            <w:r>
              <w:rPr>
                <w:noProof/>
                <w:color w:val="FF00FF"/>
              </w:rPr>
              <w:drawing>
                <wp:inline distT="0" distB="0" distL="0" distR="0" wp14:anchorId="1B4F69B2" wp14:editId="509684FD">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31" w:type="dxa"/>
          </w:tcPr>
          <w:p w14:paraId="1D84AB5F" w14:textId="77777777" w:rsidR="00F71653" w:rsidRPr="00F71653" w:rsidRDefault="00F71653" w:rsidP="00F81BDE">
            <w:pPr>
              <w:spacing w:line="360" w:lineRule="auto"/>
              <w:jc w:val="center"/>
              <w:rPr>
                <w:rFonts w:cs="Arial"/>
                <w:b/>
                <w:sz w:val="16"/>
                <w:szCs w:val="16"/>
                <w:lang w:val="de-DE"/>
              </w:rPr>
            </w:pPr>
          </w:p>
          <w:p w14:paraId="64EFDF99" w14:textId="177EB716" w:rsidR="00F40301" w:rsidRPr="00A83FD5" w:rsidRDefault="00045017" w:rsidP="00F81BDE">
            <w:pPr>
              <w:spacing w:line="360" w:lineRule="auto"/>
              <w:jc w:val="center"/>
              <w:rPr>
                <w:rFonts w:cs="Arial"/>
                <w:b/>
                <w:color w:val="FF00FF"/>
                <w:sz w:val="24"/>
                <w:szCs w:val="22"/>
              </w:rPr>
            </w:pPr>
            <w:r>
              <w:rPr>
                <w:noProof/>
              </w:rPr>
              <w:drawing>
                <wp:inline distT="0" distB="0" distL="0" distR="0" wp14:anchorId="734297D6" wp14:editId="5CC7EC92">
                  <wp:extent cx="1147445" cy="758825"/>
                  <wp:effectExtent l="0" t="0" r="0" b="317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A83FD5" w:rsidRPr="00A83FD5" w14:paraId="310C885F" w14:textId="77777777" w:rsidTr="00372948">
        <w:tc>
          <w:tcPr>
            <w:tcW w:w="4531" w:type="dxa"/>
          </w:tcPr>
          <w:p w14:paraId="02BB9F16" w14:textId="77777777" w:rsidR="00942D12" w:rsidRPr="00960826" w:rsidRDefault="00F40301" w:rsidP="00942D12">
            <w:pPr>
              <w:jc w:val="center"/>
              <w:rPr>
                <w:rFonts w:cs="Arial"/>
                <w:szCs w:val="22"/>
              </w:rPr>
            </w:pPr>
            <w:r>
              <w:t xml:space="preserve"> Gregor Dietachmayr, </w:t>
            </w:r>
          </w:p>
          <w:p w14:paraId="72D2CB62" w14:textId="77777777" w:rsidR="00F40301" w:rsidRPr="00A83FD5" w:rsidRDefault="00F40301" w:rsidP="00942D12">
            <w:pPr>
              <w:jc w:val="center"/>
              <w:rPr>
                <w:rFonts w:cs="Arial"/>
                <w:color w:val="FF00FF"/>
                <w:szCs w:val="22"/>
              </w:rPr>
            </w:pPr>
            <w:r>
              <w:t>Spokesperson for the Management Team</w:t>
            </w:r>
          </w:p>
        </w:tc>
        <w:tc>
          <w:tcPr>
            <w:tcW w:w="4531" w:type="dxa"/>
          </w:tcPr>
          <w:p w14:paraId="1BD157E1" w14:textId="77777777" w:rsidR="00F621A0" w:rsidRPr="00960826" w:rsidRDefault="00F621A0" w:rsidP="002F3A42">
            <w:pPr>
              <w:jc w:val="both"/>
              <w:rPr>
                <w:rFonts w:cs="Arial"/>
                <w:iCs/>
                <w:szCs w:val="22"/>
              </w:rPr>
            </w:pPr>
            <w:r>
              <w:t>From the left: Jörg Lechner, Markus Baldinger, Gregor Dietachmayr, Wolfgang Moser, Herbert Wagner</w:t>
            </w:r>
          </w:p>
          <w:p w14:paraId="49252516" w14:textId="77777777" w:rsidR="00F40301" w:rsidRPr="006A27C9" w:rsidRDefault="00F40301" w:rsidP="002F3A42">
            <w:pPr>
              <w:rPr>
                <w:rFonts w:cs="Arial"/>
                <w:color w:val="FF00FF"/>
                <w:szCs w:val="22"/>
              </w:rPr>
            </w:pPr>
          </w:p>
        </w:tc>
      </w:tr>
      <w:tr w:rsidR="00A83FD5" w:rsidRPr="00A83FD5" w14:paraId="7A28C75F" w14:textId="77777777" w:rsidTr="00372948">
        <w:tc>
          <w:tcPr>
            <w:tcW w:w="4531" w:type="dxa"/>
          </w:tcPr>
          <w:p w14:paraId="48D87403" w14:textId="040621D0" w:rsidR="00F40301" w:rsidRPr="00960826" w:rsidRDefault="00CC4485" w:rsidP="00942D12">
            <w:pPr>
              <w:jc w:val="center"/>
              <w:rPr>
                <w:rFonts w:cs="Arial"/>
                <w:b/>
                <w:color w:val="FF00FF"/>
                <w:sz w:val="20"/>
                <w:szCs w:val="20"/>
              </w:rPr>
            </w:pPr>
            <w:hyperlink r:id="rId10" w:history="1">
              <w:r w:rsidR="002F0732">
                <w:rPr>
                  <w:color w:val="0000FF"/>
                  <w:sz w:val="20"/>
                  <w:szCs w:val="20"/>
                  <w:u w:val="single"/>
                </w:rPr>
                <w:t>http://www.poettinger.at/de_in/Newsroom/Pressebild/4063</w:t>
              </w:r>
            </w:hyperlink>
          </w:p>
        </w:tc>
        <w:tc>
          <w:tcPr>
            <w:tcW w:w="4531" w:type="dxa"/>
          </w:tcPr>
          <w:p w14:paraId="72491EA0" w14:textId="5FCC83A5" w:rsidR="00CA4B29" w:rsidRPr="00960826" w:rsidRDefault="00CC4485" w:rsidP="00503E26">
            <w:pPr>
              <w:jc w:val="center"/>
              <w:rPr>
                <w:color w:val="0000FF"/>
                <w:sz w:val="20"/>
                <w:szCs w:val="20"/>
                <w:u w:val="single"/>
              </w:rPr>
            </w:pPr>
            <w:hyperlink r:id="rId11" w:history="1">
              <w:r w:rsidR="002F0732">
                <w:rPr>
                  <w:color w:val="0000FF"/>
                  <w:sz w:val="20"/>
                  <w:szCs w:val="20"/>
                  <w:u w:val="single"/>
                </w:rPr>
                <w:t>https://www.poettinger.at/de_at/Newsroom/Pressebild/4062</w:t>
              </w:r>
            </w:hyperlink>
          </w:p>
        </w:tc>
      </w:tr>
    </w:tbl>
    <w:p w14:paraId="78AD7E9B" w14:textId="77777777" w:rsidR="00700FA5" w:rsidRPr="006A27C9" w:rsidRDefault="00700FA5" w:rsidP="00F514CE">
      <w:pPr>
        <w:spacing w:line="360" w:lineRule="auto"/>
        <w:jc w:val="both"/>
        <w:rPr>
          <w:rFonts w:cs="Arial"/>
          <w:szCs w:val="22"/>
        </w:rPr>
      </w:pPr>
    </w:p>
    <w:p w14:paraId="125C9674" w14:textId="54B32C0B" w:rsidR="002F3A42" w:rsidRDefault="002F3A42" w:rsidP="00F514CE">
      <w:pPr>
        <w:spacing w:line="360" w:lineRule="auto"/>
        <w:jc w:val="both"/>
        <w:rPr>
          <w:rStyle w:val="Hyperlink"/>
          <w:rFonts w:cs="Arial"/>
          <w:color w:val="auto"/>
          <w:szCs w:val="22"/>
        </w:rPr>
      </w:pPr>
      <w:r>
        <w:t xml:space="preserve">More printer-friendly photos are available at: </w:t>
      </w:r>
      <w:hyperlink r:id="rId12" w:history="1">
        <w:r>
          <w:rPr>
            <w:rStyle w:val="Hyperlink"/>
          </w:rPr>
          <w:t>https://www.poettinger.at/presse</w:t>
        </w:r>
      </w:hyperlink>
    </w:p>
    <w:sectPr w:rsidR="002F3A42"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5AEC" w14:textId="77777777" w:rsidR="00105362" w:rsidRDefault="00105362" w:rsidP="00A92099">
      <w:r>
        <w:separator/>
      </w:r>
    </w:p>
  </w:endnote>
  <w:endnote w:type="continuationSeparator" w:id="0">
    <w:p w14:paraId="3D8A6A4E" w14:textId="77777777" w:rsidR="00105362" w:rsidRDefault="0010536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106CB01" w:rsidR="00105362" w:rsidRPr="006A27C9" w:rsidRDefault="00105362" w:rsidP="00F514CE">
    <w:pPr>
      <w:rPr>
        <w:rFonts w:cs="Arial"/>
        <w:b/>
        <w:sz w:val="18"/>
        <w:szCs w:val="18"/>
        <w:lang w:val="de-DE"/>
      </w:rPr>
    </w:pPr>
    <w:r w:rsidRPr="006A27C9">
      <w:rPr>
        <w:b/>
        <w:sz w:val="18"/>
        <w:szCs w:val="18"/>
        <w:lang w:val="de-DE"/>
      </w:rPr>
      <w:t xml:space="preserve">PÖTTINGER Landtechnik GmbH - Corporate </w:t>
    </w:r>
    <w:r w:rsidR="00AE18D0">
      <w:rPr>
        <w:b/>
        <w:sz w:val="18"/>
        <w:szCs w:val="18"/>
        <w:lang w:val="de-DE"/>
      </w:rPr>
      <w:t>C</w:t>
    </w:r>
    <w:r w:rsidRPr="006A27C9">
      <w:rPr>
        <w:b/>
        <w:sz w:val="18"/>
        <w:szCs w:val="18"/>
        <w:lang w:val="de-DE"/>
      </w:rPr>
      <w:t>ommunication</w:t>
    </w:r>
  </w:p>
  <w:p w14:paraId="2EE3C526" w14:textId="77777777" w:rsidR="00F40301" w:rsidRPr="006A27C9" w:rsidRDefault="00F40301" w:rsidP="00F514CE">
    <w:pPr>
      <w:rPr>
        <w:rFonts w:cs="Arial"/>
        <w:sz w:val="18"/>
        <w:szCs w:val="18"/>
        <w:lang w:val="de-DE"/>
      </w:rPr>
    </w:pPr>
    <w:r w:rsidRPr="006A27C9">
      <w:rPr>
        <w:sz w:val="18"/>
        <w:szCs w:val="18"/>
        <w:lang w:val="de-DE"/>
      </w:rPr>
      <w:t>Inge Steibl,</w:t>
    </w:r>
    <w:r w:rsidRPr="006A27C9">
      <w:rPr>
        <w:b/>
        <w:sz w:val="18"/>
        <w:szCs w:val="18"/>
        <w:lang w:val="de-DE"/>
      </w:rPr>
      <w:t xml:space="preserve"> </w:t>
    </w:r>
    <w:r w:rsidRPr="006A27C9">
      <w:rPr>
        <w:sz w:val="18"/>
        <w:szCs w:val="18"/>
        <w:lang w:val="de-DE"/>
      </w:rPr>
      <w:t xml:space="preserve">Industriegelände 1, AT-4710 Grieskirchen, </w:t>
    </w:r>
  </w:p>
  <w:p w14:paraId="730F00C5" w14:textId="1B319BF2" w:rsidR="00105362" w:rsidRPr="00796525" w:rsidRDefault="003E3356" w:rsidP="00F514CE">
    <w:pPr>
      <w:rPr>
        <w:rFonts w:cs="Arial"/>
        <w:sz w:val="18"/>
        <w:szCs w:val="18"/>
      </w:rPr>
    </w:pPr>
    <w:r>
      <w:rPr>
        <w:sz w:val="18"/>
        <w:szCs w:val="18"/>
      </w:rPr>
      <w:t>Phone: +43 7248 600 2415, inge.steibl@poettinger.at, www.poettinger.at</w:t>
    </w:r>
    <w:r>
      <w:rPr>
        <w:sz w:val="18"/>
        <w:szCs w:val="18"/>
      </w:rPr>
      <w:tab/>
      <w:t xml:space="preserve">     </w:t>
    </w:r>
    <w:r>
      <w:rPr>
        <w:sz w:val="18"/>
        <w:szCs w:val="18"/>
      </w:rPr>
      <w:tab/>
    </w:r>
    <w:r>
      <w:rPr>
        <w:sz w:val="18"/>
        <w:szCs w:val="18"/>
      </w:rPr>
      <w:tab/>
    </w:r>
    <w:r>
      <w:rPr>
        <w:sz w:val="18"/>
        <w:szCs w:val="18"/>
      </w:rPr>
      <w:tab/>
    </w:r>
    <w:r w:rsidR="00105362" w:rsidRPr="00AB6584">
      <w:rPr>
        <w:rFonts w:cs="Arial"/>
        <w:sz w:val="18"/>
        <w:szCs w:val="18"/>
      </w:rPr>
      <w:fldChar w:fldCharType="begin"/>
    </w:r>
    <w:r w:rsidR="00105362" w:rsidRPr="00AB6584">
      <w:rPr>
        <w:rFonts w:cs="Arial"/>
        <w:sz w:val="18"/>
        <w:szCs w:val="18"/>
      </w:rPr>
      <w:instrText xml:space="preserve"> PAGE   \* MERGEFORMAT </w:instrText>
    </w:r>
    <w:r w:rsidR="00105362" w:rsidRPr="00AB6584">
      <w:rPr>
        <w:rFonts w:cs="Arial"/>
        <w:sz w:val="18"/>
        <w:szCs w:val="18"/>
      </w:rPr>
      <w:fldChar w:fldCharType="separate"/>
    </w:r>
    <w:r w:rsidR="00A1023C">
      <w:rPr>
        <w:rFonts w:cs="Arial"/>
        <w:sz w:val="18"/>
        <w:szCs w:val="18"/>
      </w:rPr>
      <w:t>3</w:t>
    </w:r>
    <w:r w:rsidR="00105362"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DB84" w14:textId="77777777" w:rsidR="00105362" w:rsidRDefault="00105362" w:rsidP="00A92099">
      <w:r>
        <w:separator/>
      </w:r>
    </w:p>
  </w:footnote>
  <w:footnote w:type="continuationSeparator" w:id="0">
    <w:p w14:paraId="367F1E4E" w14:textId="77777777" w:rsidR="00105362" w:rsidRDefault="0010536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67E20" w14:textId="77777777" w:rsidR="00105362" w:rsidRDefault="00F3189E" w:rsidP="00F2555A">
    <w:pPr>
      <w:spacing w:line="360" w:lineRule="auto"/>
      <w:rPr>
        <w:rFonts w:cs="Arial"/>
        <w:sz w:val="24"/>
      </w:rPr>
    </w:pPr>
    <w:r>
      <w:rPr>
        <w:b/>
        <w:noProof/>
        <w:sz w:val="24"/>
      </w:rPr>
      <w:drawing>
        <wp:anchor distT="0" distB="0" distL="114300" distR="114300" simplePos="0" relativeHeight="251658240" behindDoc="0" locked="0" layoutInCell="1" allowOverlap="1" wp14:anchorId="70F9E722" wp14:editId="3E24F2EC">
          <wp:simplePos x="0" y="0"/>
          <wp:positionH relativeFrom="margin">
            <wp:align>right</wp:align>
          </wp:positionH>
          <wp:positionV relativeFrom="margin">
            <wp:posOffset>-627380</wp:posOffset>
          </wp:positionV>
          <wp:extent cx="2495550" cy="244475"/>
          <wp:effectExtent l="0" t="0" r="0" b="3175"/>
          <wp:wrapSquare wrapText="bothSides"/>
          <wp:docPr id="14"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r>
      <w:rPr>
        <w:sz w:val="24"/>
      </w:rPr>
      <w:t xml:space="preserve"> </w:t>
    </w:r>
  </w:p>
  <w:p w14:paraId="18B16C85" w14:textId="77777777" w:rsidR="00105362" w:rsidRDefault="00F40301" w:rsidP="006E79F5">
    <w:pPr>
      <w:tabs>
        <w:tab w:val="left" w:pos="8265"/>
      </w:tabs>
      <w:spacing w:line="360" w:lineRule="auto"/>
      <w:rPr>
        <w:rFonts w:cs="Arial"/>
        <w:b/>
        <w:sz w:val="24"/>
      </w:rPr>
    </w:pPr>
    <w:r>
      <w:rPr>
        <w:b/>
        <w:sz w:val="24"/>
      </w:rPr>
      <w:t>Press release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132E"/>
    <w:rsid w:val="0000763A"/>
    <w:rsid w:val="000103D6"/>
    <w:rsid w:val="0001091E"/>
    <w:rsid w:val="00045017"/>
    <w:rsid w:val="000511C3"/>
    <w:rsid w:val="000703FC"/>
    <w:rsid w:val="000729E6"/>
    <w:rsid w:val="00080095"/>
    <w:rsid w:val="00083112"/>
    <w:rsid w:val="00086292"/>
    <w:rsid w:val="00090CD0"/>
    <w:rsid w:val="00091C00"/>
    <w:rsid w:val="000A2F69"/>
    <w:rsid w:val="000B0A02"/>
    <w:rsid w:val="000B3E73"/>
    <w:rsid w:val="000B593F"/>
    <w:rsid w:val="000C6811"/>
    <w:rsid w:val="000D391F"/>
    <w:rsid w:val="000E636D"/>
    <w:rsid w:val="000F775B"/>
    <w:rsid w:val="000F7BB8"/>
    <w:rsid w:val="00105362"/>
    <w:rsid w:val="0010591C"/>
    <w:rsid w:val="001079C7"/>
    <w:rsid w:val="00115FF2"/>
    <w:rsid w:val="001233CA"/>
    <w:rsid w:val="00132418"/>
    <w:rsid w:val="00133BFE"/>
    <w:rsid w:val="001359FE"/>
    <w:rsid w:val="0014096D"/>
    <w:rsid w:val="00157BE8"/>
    <w:rsid w:val="00166CD0"/>
    <w:rsid w:val="0017619E"/>
    <w:rsid w:val="00181783"/>
    <w:rsid w:val="00192865"/>
    <w:rsid w:val="00194E7B"/>
    <w:rsid w:val="00195194"/>
    <w:rsid w:val="001A3357"/>
    <w:rsid w:val="001A6C1E"/>
    <w:rsid w:val="001A72E9"/>
    <w:rsid w:val="001A7EDC"/>
    <w:rsid w:val="001B0186"/>
    <w:rsid w:val="001B0846"/>
    <w:rsid w:val="001C431C"/>
    <w:rsid w:val="001E262B"/>
    <w:rsid w:val="001F0303"/>
    <w:rsid w:val="001F3694"/>
    <w:rsid w:val="0020021C"/>
    <w:rsid w:val="00203C2A"/>
    <w:rsid w:val="00203DE9"/>
    <w:rsid w:val="0021757E"/>
    <w:rsid w:val="00217704"/>
    <w:rsid w:val="002239D3"/>
    <w:rsid w:val="00233B52"/>
    <w:rsid w:val="00250690"/>
    <w:rsid w:val="0025382C"/>
    <w:rsid w:val="00255913"/>
    <w:rsid w:val="002624BB"/>
    <w:rsid w:val="002851E1"/>
    <w:rsid w:val="00286632"/>
    <w:rsid w:val="00293311"/>
    <w:rsid w:val="00295192"/>
    <w:rsid w:val="002A347B"/>
    <w:rsid w:val="002B1DDA"/>
    <w:rsid w:val="002C4658"/>
    <w:rsid w:val="002D65F4"/>
    <w:rsid w:val="002E072E"/>
    <w:rsid w:val="002E0819"/>
    <w:rsid w:val="002E78C8"/>
    <w:rsid w:val="002F0732"/>
    <w:rsid w:val="002F3A42"/>
    <w:rsid w:val="002F4A34"/>
    <w:rsid w:val="002F68F9"/>
    <w:rsid w:val="002F7B5B"/>
    <w:rsid w:val="00305161"/>
    <w:rsid w:val="00306D4E"/>
    <w:rsid w:val="00310761"/>
    <w:rsid w:val="00315B65"/>
    <w:rsid w:val="003170BC"/>
    <w:rsid w:val="00332F2C"/>
    <w:rsid w:val="003339E3"/>
    <w:rsid w:val="0033632A"/>
    <w:rsid w:val="00341328"/>
    <w:rsid w:val="00354075"/>
    <w:rsid w:val="00360CD1"/>
    <w:rsid w:val="00367BAE"/>
    <w:rsid w:val="00370CDF"/>
    <w:rsid w:val="00372948"/>
    <w:rsid w:val="0037414C"/>
    <w:rsid w:val="00390166"/>
    <w:rsid w:val="003A1396"/>
    <w:rsid w:val="003A1BA9"/>
    <w:rsid w:val="003A42E5"/>
    <w:rsid w:val="003A6B12"/>
    <w:rsid w:val="003B5F5B"/>
    <w:rsid w:val="003B6E17"/>
    <w:rsid w:val="003C0FAE"/>
    <w:rsid w:val="003C47A7"/>
    <w:rsid w:val="003C47EF"/>
    <w:rsid w:val="003C4AD2"/>
    <w:rsid w:val="003E2BB0"/>
    <w:rsid w:val="003E3356"/>
    <w:rsid w:val="003E4C65"/>
    <w:rsid w:val="003E70BF"/>
    <w:rsid w:val="003E7558"/>
    <w:rsid w:val="003F1190"/>
    <w:rsid w:val="003F474E"/>
    <w:rsid w:val="00414BF9"/>
    <w:rsid w:val="00414D93"/>
    <w:rsid w:val="00433314"/>
    <w:rsid w:val="00454B0B"/>
    <w:rsid w:val="0045696A"/>
    <w:rsid w:val="00461277"/>
    <w:rsid w:val="00467385"/>
    <w:rsid w:val="0047231E"/>
    <w:rsid w:val="0047316B"/>
    <w:rsid w:val="00475180"/>
    <w:rsid w:val="00475F1D"/>
    <w:rsid w:val="00477C43"/>
    <w:rsid w:val="00483994"/>
    <w:rsid w:val="00483A47"/>
    <w:rsid w:val="0049721A"/>
    <w:rsid w:val="004A4D6F"/>
    <w:rsid w:val="004B593A"/>
    <w:rsid w:val="004C25A8"/>
    <w:rsid w:val="004D13C6"/>
    <w:rsid w:val="004D51C0"/>
    <w:rsid w:val="004E4CB3"/>
    <w:rsid w:val="004F271D"/>
    <w:rsid w:val="004F7891"/>
    <w:rsid w:val="004F7D2F"/>
    <w:rsid w:val="005039B8"/>
    <w:rsid w:val="00503E26"/>
    <w:rsid w:val="00510DBE"/>
    <w:rsid w:val="00510EFB"/>
    <w:rsid w:val="00511732"/>
    <w:rsid w:val="005118B3"/>
    <w:rsid w:val="005131A2"/>
    <w:rsid w:val="00513E2F"/>
    <w:rsid w:val="0051600D"/>
    <w:rsid w:val="00523CA9"/>
    <w:rsid w:val="00553987"/>
    <w:rsid w:val="0056011F"/>
    <w:rsid w:val="005610F3"/>
    <w:rsid w:val="00562B77"/>
    <w:rsid w:val="00563BB7"/>
    <w:rsid w:val="00564959"/>
    <w:rsid w:val="00570C3D"/>
    <w:rsid w:val="0057103E"/>
    <w:rsid w:val="00577F7C"/>
    <w:rsid w:val="00580B80"/>
    <w:rsid w:val="005849B0"/>
    <w:rsid w:val="00593823"/>
    <w:rsid w:val="005A01A0"/>
    <w:rsid w:val="005C538F"/>
    <w:rsid w:val="005C6440"/>
    <w:rsid w:val="005D05E2"/>
    <w:rsid w:val="005D4233"/>
    <w:rsid w:val="005E1D9F"/>
    <w:rsid w:val="005E22A4"/>
    <w:rsid w:val="005E3656"/>
    <w:rsid w:val="005E3FB9"/>
    <w:rsid w:val="005F340C"/>
    <w:rsid w:val="005F52BE"/>
    <w:rsid w:val="005F74B5"/>
    <w:rsid w:val="006003A7"/>
    <w:rsid w:val="00607765"/>
    <w:rsid w:val="00613A19"/>
    <w:rsid w:val="00626315"/>
    <w:rsid w:val="00632E4B"/>
    <w:rsid w:val="006373F9"/>
    <w:rsid w:val="00647E50"/>
    <w:rsid w:val="00650000"/>
    <w:rsid w:val="006527FE"/>
    <w:rsid w:val="00661FB3"/>
    <w:rsid w:val="00662CBB"/>
    <w:rsid w:val="00663112"/>
    <w:rsid w:val="0066562C"/>
    <w:rsid w:val="006671E5"/>
    <w:rsid w:val="00673472"/>
    <w:rsid w:val="00675D9F"/>
    <w:rsid w:val="00690AB6"/>
    <w:rsid w:val="006932F7"/>
    <w:rsid w:val="00694417"/>
    <w:rsid w:val="00696E62"/>
    <w:rsid w:val="006A27C9"/>
    <w:rsid w:val="006D6874"/>
    <w:rsid w:val="006E3C71"/>
    <w:rsid w:val="006E73F0"/>
    <w:rsid w:val="006E79F5"/>
    <w:rsid w:val="006F4BAA"/>
    <w:rsid w:val="00700FA5"/>
    <w:rsid w:val="007026A3"/>
    <w:rsid w:val="00710CB9"/>
    <w:rsid w:val="00715C69"/>
    <w:rsid w:val="00721100"/>
    <w:rsid w:val="007245A4"/>
    <w:rsid w:val="00730974"/>
    <w:rsid w:val="00732FF9"/>
    <w:rsid w:val="0073638A"/>
    <w:rsid w:val="007401A5"/>
    <w:rsid w:val="00740D5C"/>
    <w:rsid w:val="00745D8A"/>
    <w:rsid w:val="00745EE4"/>
    <w:rsid w:val="00773D2C"/>
    <w:rsid w:val="00776BBB"/>
    <w:rsid w:val="007817A5"/>
    <w:rsid w:val="00782612"/>
    <w:rsid w:val="0078514E"/>
    <w:rsid w:val="00793459"/>
    <w:rsid w:val="00793B87"/>
    <w:rsid w:val="00796525"/>
    <w:rsid w:val="007B12BD"/>
    <w:rsid w:val="007B4598"/>
    <w:rsid w:val="007B5537"/>
    <w:rsid w:val="007B7F3E"/>
    <w:rsid w:val="007C66EC"/>
    <w:rsid w:val="007C745B"/>
    <w:rsid w:val="007D4F64"/>
    <w:rsid w:val="007E3998"/>
    <w:rsid w:val="007F5582"/>
    <w:rsid w:val="007F645D"/>
    <w:rsid w:val="0080503D"/>
    <w:rsid w:val="00805634"/>
    <w:rsid w:val="0081122D"/>
    <w:rsid w:val="00820FE0"/>
    <w:rsid w:val="00831037"/>
    <w:rsid w:val="00833003"/>
    <w:rsid w:val="00837983"/>
    <w:rsid w:val="008405E1"/>
    <w:rsid w:val="00847504"/>
    <w:rsid w:val="008611E7"/>
    <w:rsid w:val="008618BE"/>
    <w:rsid w:val="00861F8B"/>
    <w:rsid w:val="00867CDC"/>
    <w:rsid w:val="00871367"/>
    <w:rsid w:val="008857FE"/>
    <w:rsid w:val="008953E9"/>
    <w:rsid w:val="008A078D"/>
    <w:rsid w:val="008A3DA2"/>
    <w:rsid w:val="008A478F"/>
    <w:rsid w:val="008A5E64"/>
    <w:rsid w:val="008B1F4A"/>
    <w:rsid w:val="008C2F0D"/>
    <w:rsid w:val="008C68D8"/>
    <w:rsid w:val="008D1B94"/>
    <w:rsid w:val="008D3602"/>
    <w:rsid w:val="008E42C7"/>
    <w:rsid w:val="008E6C96"/>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E46"/>
    <w:rsid w:val="00951809"/>
    <w:rsid w:val="0095216B"/>
    <w:rsid w:val="00960826"/>
    <w:rsid w:val="00965677"/>
    <w:rsid w:val="0097188E"/>
    <w:rsid w:val="009818CF"/>
    <w:rsid w:val="00994725"/>
    <w:rsid w:val="009A212B"/>
    <w:rsid w:val="009A4861"/>
    <w:rsid w:val="009A48E8"/>
    <w:rsid w:val="009B09E1"/>
    <w:rsid w:val="009B27DF"/>
    <w:rsid w:val="009B6F3E"/>
    <w:rsid w:val="009B7C92"/>
    <w:rsid w:val="009C6C19"/>
    <w:rsid w:val="009D5026"/>
    <w:rsid w:val="009E6BD2"/>
    <w:rsid w:val="009E7D93"/>
    <w:rsid w:val="009F0880"/>
    <w:rsid w:val="00A024E7"/>
    <w:rsid w:val="00A05F62"/>
    <w:rsid w:val="00A1023C"/>
    <w:rsid w:val="00A26299"/>
    <w:rsid w:val="00A27DCD"/>
    <w:rsid w:val="00A33250"/>
    <w:rsid w:val="00A33633"/>
    <w:rsid w:val="00A37961"/>
    <w:rsid w:val="00A435C8"/>
    <w:rsid w:val="00A45D45"/>
    <w:rsid w:val="00A4724F"/>
    <w:rsid w:val="00A52A93"/>
    <w:rsid w:val="00A53216"/>
    <w:rsid w:val="00A53612"/>
    <w:rsid w:val="00A55C53"/>
    <w:rsid w:val="00A65772"/>
    <w:rsid w:val="00A721D4"/>
    <w:rsid w:val="00A761AC"/>
    <w:rsid w:val="00A83FD5"/>
    <w:rsid w:val="00A92099"/>
    <w:rsid w:val="00A93097"/>
    <w:rsid w:val="00AB6584"/>
    <w:rsid w:val="00AC3755"/>
    <w:rsid w:val="00AD334C"/>
    <w:rsid w:val="00AD69EB"/>
    <w:rsid w:val="00AE18D0"/>
    <w:rsid w:val="00AE4208"/>
    <w:rsid w:val="00AF1FF1"/>
    <w:rsid w:val="00AF3C1D"/>
    <w:rsid w:val="00B030D8"/>
    <w:rsid w:val="00B04669"/>
    <w:rsid w:val="00B132B9"/>
    <w:rsid w:val="00B146DE"/>
    <w:rsid w:val="00B172F3"/>
    <w:rsid w:val="00B32434"/>
    <w:rsid w:val="00B331C0"/>
    <w:rsid w:val="00B50658"/>
    <w:rsid w:val="00B555E0"/>
    <w:rsid w:val="00B75A84"/>
    <w:rsid w:val="00B833C3"/>
    <w:rsid w:val="00B84117"/>
    <w:rsid w:val="00B87371"/>
    <w:rsid w:val="00B928D8"/>
    <w:rsid w:val="00BA44E9"/>
    <w:rsid w:val="00BB1A4C"/>
    <w:rsid w:val="00BB39C0"/>
    <w:rsid w:val="00BC1770"/>
    <w:rsid w:val="00BC5844"/>
    <w:rsid w:val="00BC6B0D"/>
    <w:rsid w:val="00BD7D03"/>
    <w:rsid w:val="00BF1549"/>
    <w:rsid w:val="00BF2E5C"/>
    <w:rsid w:val="00BF62CD"/>
    <w:rsid w:val="00C06E5F"/>
    <w:rsid w:val="00C0770E"/>
    <w:rsid w:val="00C1117F"/>
    <w:rsid w:val="00C22754"/>
    <w:rsid w:val="00C22763"/>
    <w:rsid w:val="00C412FE"/>
    <w:rsid w:val="00C41834"/>
    <w:rsid w:val="00C554B4"/>
    <w:rsid w:val="00C60D4F"/>
    <w:rsid w:val="00C71CD6"/>
    <w:rsid w:val="00C819D2"/>
    <w:rsid w:val="00C865DB"/>
    <w:rsid w:val="00C9511E"/>
    <w:rsid w:val="00CA2767"/>
    <w:rsid w:val="00CA4B29"/>
    <w:rsid w:val="00CA7FAD"/>
    <w:rsid w:val="00CB09DA"/>
    <w:rsid w:val="00CB1A03"/>
    <w:rsid w:val="00CB20F4"/>
    <w:rsid w:val="00CB2C5F"/>
    <w:rsid w:val="00CB2D2C"/>
    <w:rsid w:val="00CC4485"/>
    <w:rsid w:val="00CD2D62"/>
    <w:rsid w:val="00CD37AB"/>
    <w:rsid w:val="00CE1B7D"/>
    <w:rsid w:val="00CE371E"/>
    <w:rsid w:val="00CF524C"/>
    <w:rsid w:val="00D02CA4"/>
    <w:rsid w:val="00D04BBB"/>
    <w:rsid w:val="00D10A8A"/>
    <w:rsid w:val="00D24A5B"/>
    <w:rsid w:val="00D26777"/>
    <w:rsid w:val="00D34CAA"/>
    <w:rsid w:val="00D3547D"/>
    <w:rsid w:val="00D408DE"/>
    <w:rsid w:val="00D42F4D"/>
    <w:rsid w:val="00D43D59"/>
    <w:rsid w:val="00D6000B"/>
    <w:rsid w:val="00D630B5"/>
    <w:rsid w:val="00D66D21"/>
    <w:rsid w:val="00D67012"/>
    <w:rsid w:val="00D75C62"/>
    <w:rsid w:val="00D81874"/>
    <w:rsid w:val="00D81D3B"/>
    <w:rsid w:val="00D918E6"/>
    <w:rsid w:val="00D94C66"/>
    <w:rsid w:val="00DA36EF"/>
    <w:rsid w:val="00DA5C72"/>
    <w:rsid w:val="00DA7B58"/>
    <w:rsid w:val="00DB042E"/>
    <w:rsid w:val="00DB51EA"/>
    <w:rsid w:val="00DB5DF6"/>
    <w:rsid w:val="00DC213C"/>
    <w:rsid w:val="00DC4369"/>
    <w:rsid w:val="00DC54BB"/>
    <w:rsid w:val="00DD7264"/>
    <w:rsid w:val="00DE232F"/>
    <w:rsid w:val="00DE2E1D"/>
    <w:rsid w:val="00E03806"/>
    <w:rsid w:val="00E215B5"/>
    <w:rsid w:val="00E244B7"/>
    <w:rsid w:val="00E25DB2"/>
    <w:rsid w:val="00E26C97"/>
    <w:rsid w:val="00E31E2D"/>
    <w:rsid w:val="00E36883"/>
    <w:rsid w:val="00E40E5C"/>
    <w:rsid w:val="00E558B4"/>
    <w:rsid w:val="00E63E2D"/>
    <w:rsid w:val="00E663BF"/>
    <w:rsid w:val="00E667FA"/>
    <w:rsid w:val="00E66BB8"/>
    <w:rsid w:val="00E70629"/>
    <w:rsid w:val="00E73E0A"/>
    <w:rsid w:val="00E84299"/>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239C8"/>
    <w:rsid w:val="00F23A63"/>
    <w:rsid w:val="00F2555A"/>
    <w:rsid w:val="00F25D9A"/>
    <w:rsid w:val="00F3189E"/>
    <w:rsid w:val="00F33183"/>
    <w:rsid w:val="00F40301"/>
    <w:rsid w:val="00F41C02"/>
    <w:rsid w:val="00F514CE"/>
    <w:rsid w:val="00F51F06"/>
    <w:rsid w:val="00F523EB"/>
    <w:rsid w:val="00F55E44"/>
    <w:rsid w:val="00F576B6"/>
    <w:rsid w:val="00F621A0"/>
    <w:rsid w:val="00F64D45"/>
    <w:rsid w:val="00F67603"/>
    <w:rsid w:val="00F71653"/>
    <w:rsid w:val="00F90C4A"/>
    <w:rsid w:val="00F9495F"/>
    <w:rsid w:val="00FA20B3"/>
    <w:rsid w:val="00FA3346"/>
    <w:rsid w:val="00FB5247"/>
    <w:rsid w:val="00FB7A4D"/>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0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ettinger.at/de_in/Newsroom/Pressebild/406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B418B3-B51B-4C2A-8DBC-9969DF5E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55BF3E95.dotm</Template>
  <TotalTime>0</TotalTime>
  <Pages>2</Pages>
  <Words>510</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Geschäftsbericht 18/19</vt:lpstr>
    </vt:vector>
  </TitlesOfParts>
  <Company>PÖTTINGER Landtechnik GmbH</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18/19</dc:title>
  <dc:creator>steiing</dc:creator>
  <cp:lastModifiedBy>Steibl Inge</cp:lastModifiedBy>
  <cp:revision>3</cp:revision>
  <cp:lastPrinted>2020-08-27T06:18:00Z</cp:lastPrinted>
  <dcterms:created xsi:type="dcterms:W3CDTF">2020-09-02T10:54:00Z</dcterms:created>
  <dcterms:modified xsi:type="dcterms:W3CDTF">2020-09-02T13:46:00Z</dcterms:modified>
</cp:coreProperties>
</file>