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9853D" w14:textId="68F5F64D" w:rsidR="0030142C" w:rsidRDefault="0030142C" w:rsidP="00AC2B53">
      <w:pPr>
        <w:pStyle w:val="Textkrper3"/>
        <w:spacing w:after="0" w:line="360" w:lineRule="auto"/>
        <w:rPr>
          <w:rFonts w:ascii="Arial" w:hAnsi="Arial" w:cs="Arial"/>
          <w:sz w:val="40"/>
          <w:szCs w:val="40"/>
        </w:rPr>
      </w:pPr>
      <w:r>
        <w:rPr>
          <w:rFonts w:ascii="Arial" w:hAnsi="Arial"/>
          <w:sz w:val="40"/>
          <w:szCs w:val="40"/>
        </w:rPr>
        <w:t xml:space="preserve">Den nye HIT 16.18 T – </w:t>
      </w:r>
      <w:proofErr w:type="spellStart"/>
      <w:r>
        <w:rPr>
          <w:rFonts w:ascii="Arial" w:hAnsi="Arial"/>
          <w:sz w:val="40"/>
          <w:szCs w:val="40"/>
        </w:rPr>
        <w:t>høvender</w:t>
      </w:r>
      <w:proofErr w:type="spellEnd"/>
      <w:r>
        <w:rPr>
          <w:rFonts w:ascii="Arial" w:hAnsi="Arial"/>
          <w:sz w:val="40"/>
          <w:szCs w:val="40"/>
        </w:rPr>
        <w:t xml:space="preserve"> i særklasse</w:t>
      </w:r>
    </w:p>
    <w:p w14:paraId="2D4A1388" w14:textId="2D0FCDE8" w:rsidR="0030142C" w:rsidRDefault="0030142C" w:rsidP="00115487">
      <w:pPr>
        <w:pStyle w:val="Textkrper3"/>
        <w:spacing w:after="0" w:line="360" w:lineRule="auto"/>
        <w:jc w:val="both"/>
        <w:rPr>
          <w:rFonts w:ascii="Arial" w:hAnsi="Arial" w:cs="Arial"/>
          <w:sz w:val="24"/>
          <w:szCs w:val="24"/>
        </w:rPr>
      </w:pPr>
      <w:r>
        <w:rPr>
          <w:rFonts w:ascii="Arial" w:hAnsi="Arial"/>
          <w:sz w:val="24"/>
          <w:szCs w:val="24"/>
        </w:rPr>
        <w:t xml:space="preserve">Pöttinger, græsspecialisten udvider sin </w:t>
      </w:r>
      <w:proofErr w:type="spellStart"/>
      <w:r>
        <w:rPr>
          <w:rFonts w:ascii="Arial" w:hAnsi="Arial"/>
          <w:sz w:val="24"/>
          <w:szCs w:val="24"/>
        </w:rPr>
        <w:t>produktpalette</w:t>
      </w:r>
      <w:proofErr w:type="spellEnd"/>
      <w:r>
        <w:rPr>
          <w:rFonts w:ascii="Arial" w:hAnsi="Arial"/>
          <w:sz w:val="24"/>
          <w:szCs w:val="24"/>
        </w:rPr>
        <w:t xml:space="preserve"> af </w:t>
      </w:r>
      <w:proofErr w:type="spellStart"/>
      <w:r>
        <w:rPr>
          <w:rFonts w:ascii="Arial" w:hAnsi="Arial"/>
          <w:sz w:val="24"/>
          <w:szCs w:val="24"/>
        </w:rPr>
        <w:t>rotorvendere</w:t>
      </w:r>
      <w:proofErr w:type="spellEnd"/>
      <w:r>
        <w:rPr>
          <w:rFonts w:ascii="Arial" w:hAnsi="Arial"/>
          <w:sz w:val="24"/>
          <w:szCs w:val="24"/>
        </w:rPr>
        <w:t xml:space="preserve"> med yderligere en model: Den trukne HIT 16.18 T med 16 rotorer og en arbejdsbredde på 17 m</w:t>
      </w:r>
      <w:r>
        <w:rPr>
          <w:rFonts w:ascii="Arial" w:hAnsi="Arial"/>
          <w:color w:val="FF0000"/>
          <w:sz w:val="24"/>
          <w:szCs w:val="24"/>
        </w:rPr>
        <w:t xml:space="preserve"> </w:t>
      </w:r>
      <w:r>
        <w:rPr>
          <w:rFonts w:ascii="Arial" w:hAnsi="Arial"/>
          <w:sz w:val="24"/>
          <w:szCs w:val="24"/>
        </w:rPr>
        <w:t xml:space="preserve">overbeviser med maksimal styrke, høj arbejdskvalitet og konturtilpasning. </w:t>
      </w:r>
    </w:p>
    <w:p w14:paraId="2F822333" w14:textId="77777777" w:rsidR="00115487" w:rsidRDefault="00115487" w:rsidP="00115487">
      <w:pPr>
        <w:pStyle w:val="Textkrper3"/>
        <w:spacing w:after="0" w:line="360" w:lineRule="auto"/>
        <w:jc w:val="both"/>
        <w:rPr>
          <w:rFonts w:ascii="Arial" w:hAnsi="Arial" w:cs="Arial"/>
          <w:b/>
          <w:bCs/>
          <w:sz w:val="24"/>
          <w:szCs w:val="24"/>
        </w:rPr>
      </w:pPr>
    </w:p>
    <w:p w14:paraId="20E8CCA8" w14:textId="5229FAAA" w:rsidR="00215009" w:rsidRPr="00215009" w:rsidRDefault="00215009" w:rsidP="00115487">
      <w:pPr>
        <w:pStyle w:val="Textkrper3"/>
        <w:spacing w:after="0" w:line="360" w:lineRule="auto"/>
        <w:jc w:val="both"/>
        <w:rPr>
          <w:rFonts w:ascii="Arial" w:hAnsi="Arial" w:cs="Arial"/>
          <w:b/>
          <w:bCs/>
          <w:sz w:val="24"/>
          <w:szCs w:val="24"/>
        </w:rPr>
      </w:pPr>
      <w:r>
        <w:rPr>
          <w:rFonts w:ascii="Arial" w:hAnsi="Arial"/>
          <w:b/>
          <w:bCs/>
          <w:sz w:val="24"/>
          <w:szCs w:val="24"/>
        </w:rPr>
        <w:t>Bedste spredningskvalitet ved høj arealydelse</w:t>
      </w:r>
    </w:p>
    <w:p w14:paraId="6126D8D8" w14:textId="29488C33" w:rsidR="00215009" w:rsidRDefault="00215009" w:rsidP="00115487">
      <w:pPr>
        <w:pStyle w:val="Textkrper3"/>
        <w:spacing w:after="0" w:line="360" w:lineRule="auto"/>
        <w:jc w:val="both"/>
        <w:rPr>
          <w:rFonts w:ascii="Arial" w:hAnsi="Arial" w:cs="Arial"/>
          <w:sz w:val="24"/>
          <w:szCs w:val="24"/>
        </w:rPr>
      </w:pPr>
      <w:r>
        <w:rPr>
          <w:rFonts w:ascii="Arial" w:hAnsi="Arial"/>
          <w:sz w:val="24"/>
          <w:szCs w:val="24"/>
        </w:rPr>
        <w:t>Bedrifterne bliver stadigt større, høstvinduerne stadigt kortere og kravene til kvaliteten af foderet øges. For at opfylde disse krav har Pöttinger udviklet en stor, trukket vender. HIT 16.18 T står for arealydelse, bedste konturtilpasning, høj betjeningskomfort og perfekt spredningskvalitet.</w:t>
      </w:r>
    </w:p>
    <w:p w14:paraId="40B56A95" w14:textId="0F1DC220" w:rsidR="008C0A6D" w:rsidRDefault="008C0A6D" w:rsidP="00115487">
      <w:pPr>
        <w:pStyle w:val="Textkrper3"/>
        <w:spacing w:after="0" w:line="360" w:lineRule="auto"/>
        <w:jc w:val="both"/>
        <w:rPr>
          <w:rFonts w:ascii="Arial" w:hAnsi="Arial" w:cs="Arial"/>
          <w:sz w:val="24"/>
          <w:szCs w:val="24"/>
        </w:rPr>
      </w:pPr>
      <w:r>
        <w:rPr>
          <w:rFonts w:ascii="Arial" w:hAnsi="Arial"/>
          <w:sz w:val="24"/>
          <w:szCs w:val="24"/>
        </w:rPr>
        <w:t xml:space="preserve">Hjertet er, som ved alle </w:t>
      </w:r>
      <w:proofErr w:type="spellStart"/>
      <w:r>
        <w:rPr>
          <w:rFonts w:ascii="Arial" w:hAnsi="Arial"/>
          <w:sz w:val="24"/>
          <w:szCs w:val="24"/>
        </w:rPr>
        <w:t>høvendere</w:t>
      </w:r>
      <w:proofErr w:type="spellEnd"/>
      <w:r>
        <w:rPr>
          <w:rFonts w:ascii="Arial" w:hAnsi="Arial"/>
          <w:sz w:val="24"/>
          <w:szCs w:val="24"/>
        </w:rPr>
        <w:t xml:space="preserve">, den </w:t>
      </w:r>
      <w:r>
        <w:rPr>
          <w:rFonts w:ascii="Arial" w:hAnsi="Arial"/>
          <w:color w:val="000000" w:themeColor="text1"/>
          <w:sz w:val="24"/>
          <w:szCs w:val="24"/>
        </w:rPr>
        <w:t xml:space="preserve">innovative </w:t>
      </w:r>
      <w:r>
        <w:rPr>
          <w:rFonts w:ascii="Arial" w:hAnsi="Arial"/>
          <w:sz w:val="24"/>
          <w:szCs w:val="24"/>
        </w:rPr>
        <w:t xml:space="preserve">DYNATECH-rotor. Den forreste beskyttelsesbøjle øger som bærende element stabiliteten yderligere. </w:t>
      </w:r>
    </w:p>
    <w:p w14:paraId="20ED02C4" w14:textId="63B30BFE" w:rsidR="00215009" w:rsidRPr="00A330F1" w:rsidRDefault="00E76E99" w:rsidP="00115487">
      <w:pPr>
        <w:pStyle w:val="Textkrper3"/>
        <w:spacing w:after="0" w:line="360" w:lineRule="auto"/>
        <w:jc w:val="both"/>
        <w:rPr>
          <w:rFonts w:ascii="Arial" w:hAnsi="Arial" w:cs="Arial"/>
          <w:sz w:val="24"/>
          <w:szCs w:val="24"/>
        </w:rPr>
      </w:pPr>
      <w:r>
        <w:rPr>
          <w:rFonts w:ascii="Arial" w:hAnsi="Arial"/>
          <w:sz w:val="24"/>
          <w:szCs w:val="24"/>
        </w:rPr>
        <w:t>Rotorens diameter er 1,42 m. De seks svungne tandarme optager fodermaterialet rent og leverer derved den ideelle spredningsvinkel. De efterløbende arme „trækker“ tænderne og sikrer en skånsom optagelse. Fjedertænderne, der har forskellig længde, optager materialet jævnt og forbedrer derved vendingen.</w:t>
      </w:r>
    </w:p>
    <w:p w14:paraId="7A1FCA80" w14:textId="77777777" w:rsidR="00115487" w:rsidRDefault="00115487" w:rsidP="00115487">
      <w:pPr>
        <w:pStyle w:val="Textkrper3"/>
        <w:spacing w:after="0" w:line="360" w:lineRule="auto"/>
        <w:jc w:val="both"/>
        <w:rPr>
          <w:rFonts w:ascii="Arial" w:hAnsi="Arial" w:cs="Arial"/>
          <w:b/>
          <w:bCs/>
          <w:sz w:val="24"/>
          <w:szCs w:val="24"/>
        </w:rPr>
      </w:pPr>
    </w:p>
    <w:p w14:paraId="748DB6A2" w14:textId="2E8D3465" w:rsidR="0030142C" w:rsidRPr="00115487" w:rsidRDefault="00115487" w:rsidP="00115487">
      <w:pPr>
        <w:pStyle w:val="Textkrper3"/>
        <w:spacing w:after="0" w:line="360" w:lineRule="auto"/>
        <w:jc w:val="both"/>
        <w:rPr>
          <w:rFonts w:ascii="Arial" w:hAnsi="Arial" w:cs="Arial"/>
          <w:b/>
          <w:bCs/>
          <w:sz w:val="24"/>
          <w:szCs w:val="24"/>
        </w:rPr>
      </w:pPr>
      <w:r>
        <w:rPr>
          <w:rFonts w:ascii="Arial" w:hAnsi="Arial"/>
          <w:b/>
          <w:bCs/>
          <w:sz w:val="24"/>
          <w:szCs w:val="24"/>
        </w:rPr>
        <w:t>Bedste konturtilpasning også ved store arbejdsbredder</w:t>
      </w:r>
    </w:p>
    <w:p w14:paraId="0C80DF7A" w14:textId="016C9B20" w:rsidR="00115487" w:rsidRDefault="00115487" w:rsidP="00115487">
      <w:pPr>
        <w:pStyle w:val="Textkrper3"/>
        <w:spacing w:after="0" w:line="360" w:lineRule="auto"/>
        <w:jc w:val="both"/>
        <w:rPr>
          <w:rFonts w:ascii="Arial" w:hAnsi="Arial" w:cs="Arial"/>
          <w:sz w:val="24"/>
          <w:szCs w:val="24"/>
        </w:rPr>
      </w:pPr>
      <w:r>
        <w:rPr>
          <w:rFonts w:ascii="Arial" w:hAnsi="Arial"/>
          <w:sz w:val="24"/>
          <w:szCs w:val="24"/>
        </w:rPr>
        <w:t>De store hjul på chassiset befinder sig tæt på tandindgrebet og fungerer samtidig som overdimensionerede tasthjul. Med disse hjul føres venderen perfekte hen over ujævnheder i underlaget. For en perfekt konturtilpasning tilpasser alle rammeelementer sig uafhængigt af hinanden til alle konturer. Derved tilpasser hver rotor sig optimalt til terrænet og sikrer et rent materiale.</w:t>
      </w:r>
    </w:p>
    <w:p w14:paraId="5BA96D6E" w14:textId="77777777" w:rsidR="00C13194" w:rsidRPr="00115487" w:rsidRDefault="00C13194" w:rsidP="00115487">
      <w:pPr>
        <w:pStyle w:val="Textkrper3"/>
        <w:spacing w:after="0" w:line="360" w:lineRule="auto"/>
        <w:jc w:val="both"/>
        <w:rPr>
          <w:rFonts w:ascii="Arial" w:hAnsi="Arial" w:cs="Arial"/>
          <w:sz w:val="24"/>
          <w:szCs w:val="24"/>
        </w:rPr>
      </w:pPr>
    </w:p>
    <w:p w14:paraId="6C66C02C" w14:textId="77777777" w:rsidR="0030142C" w:rsidRPr="0070603A" w:rsidRDefault="0030142C" w:rsidP="0030142C">
      <w:pPr>
        <w:rPr>
          <w:rFonts w:ascii="Calibri" w:eastAsia="Calibri" w:hAnsi="Calibri"/>
        </w:rPr>
      </w:pPr>
    </w:p>
    <w:p w14:paraId="1E0B2A0D" w14:textId="77777777" w:rsidR="00203C95" w:rsidRDefault="00203C95" w:rsidP="00115487">
      <w:pPr>
        <w:pStyle w:val="Textkrper3"/>
        <w:spacing w:after="0" w:line="360" w:lineRule="auto"/>
        <w:jc w:val="both"/>
        <w:rPr>
          <w:rFonts w:ascii="Arial" w:hAnsi="Arial" w:cs="Arial"/>
          <w:b/>
          <w:bCs/>
          <w:sz w:val="24"/>
          <w:szCs w:val="24"/>
        </w:rPr>
      </w:pPr>
    </w:p>
    <w:p w14:paraId="75ED93E2" w14:textId="03ACFA4E" w:rsidR="0030142C" w:rsidRDefault="0030142C" w:rsidP="00115487">
      <w:pPr>
        <w:pStyle w:val="Textkrper3"/>
        <w:spacing w:after="0" w:line="360" w:lineRule="auto"/>
        <w:jc w:val="both"/>
        <w:rPr>
          <w:rFonts w:ascii="Arial" w:hAnsi="Arial" w:cs="Arial"/>
          <w:b/>
          <w:bCs/>
          <w:sz w:val="24"/>
          <w:szCs w:val="24"/>
        </w:rPr>
      </w:pPr>
      <w:r>
        <w:rPr>
          <w:rFonts w:ascii="Arial" w:hAnsi="Arial"/>
          <w:b/>
          <w:bCs/>
          <w:sz w:val="24"/>
          <w:szCs w:val="24"/>
        </w:rPr>
        <w:t>LIFTMATIC PLUS – raffineret løft</w:t>
      </w:r>
    </w:p>
    <w:p w14:paraId="379B2EDA" w14:textId="478DE2F4" w:rsidR="00913992" w:rsidRPr="00913992" w:rsidRDefault="00913992" w:rsidP="00913992">
      <w:pPr>
        <w:autoSpaceDE w:val="0"/>
        <w:autoSpaceDN w:val="0"/>
        <w:adjustRightInd w:val="0"/>
        <w:spacing w:after="120" w:line="360" w:lineRule="auto"/>
        <w:jc w:val="both"/>
        <w:rPr>
          <w:rFonts w:ascii="Arial" w:hAnsi="Arial"/>
        </w:rPr>
      </w:pPr>
      <w:r>
        <w:rPr>
          <w:rFonts w:ascii="Arial" w:hAnsi="Arial"/>
        </w:rPr>
        <w:t xml:space="preserve">I den nye HIT 16.18 T er der også indbygget den unikke LIFTMATIC PLUS rotorhæveteknik i </w:t>
      </w:r>
      <w:proofErr w:type="spellStart"/>
      <w:r>
        <w:rPr>
          <w:rFonts w:ascii="Arial" w:hAnsi="Arial"/>
        </w:rPr>
        <w:t>foragerpositionen</w:t>
      </w:r>
      <w:proofErr w:type="spellEnd"/>
      <w:r>
        <w:rPr>
          <w:rFonts w:ascii="Arial" w:hAnsi="Arial"/>
        </w:rPr>
        <w:t xml:space="preserve">: Via en dobbelt cylinder bringes rotorerne </w:t>
      </w:r>
      <w:r>
        <w:rPr>
          <w:rFonts w:ascii="Arial" w:hAnsi="Arial"/>
        </w:rPr>
        <w:lastRenderedPageBreak/>
        <w:t xml:space="preserve">først i en vandret position via en kulisse og løftes derefter op. Denne intelligente styring af løftet forhindrer fuldstændigt, at tænderne stikker ned i eller på jorden. Derved reduceret tilsmudsningen af fodermaterialet betydeligt og arbejdskvaliteten øges. Derudover reducerer LIFTMATIC PLUS belastningen af tænderne, hvilken bidrager til øget levetid og styrke af maskinen. </w:t>
      </w:r>
    </w:p>
    <w:p w14:paraId="1FF9FF3F" w14:textId="5C24E032" w:rsidR="00115487" w:rsidRDefault="00913992" w:rsidP="00115487">
      <w:pPr>
        <w:pStyle w:val="Textkrper3"/>
        <w:spacing w:after="0" w:line="360" w:lineRule="auto"/>
        <w:jc w:val="both"/>
        <w:rPr>
          <w:rFonts w:ascii="Arial" w:hAnsi="Arial"/>
          <w:sz w:val="24"/>
          <w:szCs w:val="24"/>
        </w:rPr>
      </w:pPr>
      <w:proofErr w:type="spellStart"/>
      <w:r>
        <w:rPr>
          <w:rFonts w:ascii="Arial" w:hAnsi="Arial"/>
          <w:sz w:val="24"/>
          <w:szCs w:val="24"/>
        </w:rPr>
        <w:t>Foragerhævningen</w:t>
      </w:r>
      <w:proofErr w:type="spellEnd"/>
      <w:r>
        <w:rPr>
          <w:rFonts w:ascii="Arial" w:hAnsi="Arial"/>
          <w:sz w:val="24"/>
          <w:szCs w:val="24"/>
        </w:rPr>
        <w:t xml:space="preserve"> muliggør en stor frihøjde til jorden, som giver venderen en væsentligt bedre manøvredygtighed. Denne fordel betyder imidlertid ikke blot større betjenings- og kørekomfort, men også fleksible anvendelsesmuligheder for venderen på marken, for eksempel i forbindelse med drængrøfter på marken.</w:t>
      </w:r>
    </w:p>
    <w:p w14:paraId="5202AC49" w14:textId="4B984AB4" w:rsidR="005C202C" w:rsidRDefault="005C202C" w:rsidP="00115487">
      <w:pPr>
        <w:pStyle w:val="Textkrper3"/>
        <w:spacing w:after="0" w:line="360" w:lineRule="auto"/>
        <w:jc w:val="both"/>
        <w:rPr>
          <w:rFonts w:ascii="Arial" w:hAnsi="Arial"/>
          <w:sz w:val="24"/>
          <w:szCs w:val="24"/>
        </w:rPr>
      </w:pPr>
    </w:p>
    <w:p w14:paraId="2C76C198" w14:textId="29EA58CD" w:rsidR="005C202C" w:rsidRDefault="005C202C" w:rsidP="00115487">
      <w:pPr>
        <w:pStyle w:val="Textkrper3"/>
        <w:spacing w:after="0" w:line="360" w:lineRule="auto"/>
        <w:jc w:val="both"/>
        <w:rPr>
          <w:rFonts w:ascii="Arial" w:hAnsi="Arial"/>
          <w:b/>
          <w:bCs/>
          <w:sz w:val="24"/>
          <w:szCs w:val="24"/>
        </w:rPr>
      </w:pPr>
      <w:r>
        <w:rPr>
          <w:rFonts w:ascii="Arial" w:hAnsi="Arial"/>
          <w:b/>
          <w:bCs/>
          <w:sz w:val="24"/>
          <w:szCs w:val="24"/>
        </w:rPr>
        <w:t>HIT går til grænserne</w:t>
      </w:r>
    </w:p>
    <w:p w14:paraId="1E5D8C69" w14:textId="392D946A" w:rsidR="005C202C" w:rsidRDefault="005C202C" w:rsidP="00115487">
      <w:pPr>
        <w:pStyle w:val="Textkrper3"/>
        <w:spacing w:after="0" w:line="360" w:lineRule="auto"/>
        <w:jc w:val="both"/>
        <w:rPr>
          <w:rFonts w:ascii="Arial" w:hAnsi="Arial"/>
          <w:sz w:val="24"/>
          <w:szCs w:val="24"/>
        </w:rPr>
      </w:pPr>
      <w:r>
        <w:rPr>
          <w:rFonts w:ascii="Arial" w:hAnsi="Arial"/>
          <w:sz w:val="24"/>
          <w:szCs w:val="24"/>
        </w:rPr>
        <w:t xml:space="preserve">For vendere med kantspredning svinges de yderste rotorer i højre side hydraulisk skråt bagud i en vinkel på 15°. De to skråtstillede rotorer fordeler foderet jævnt på det slåede areal uden dannelse af skår. Der holdes et areal frit hen mod tilgrænsende bevoksninger. </w:t>
      </w:r>
      <w:proofErr w:type="spellStart"/>
      <w:r>
        <w:rPr>
          <w:rFonts w:ascii="Arial" w:hAnsi="Arial"/>
          <w:sz w:val="24"/>
          <w:szCs w:val="24"/>
        </w:rPr>
        <w:t>Rotorene</w:t>
      </w:r>
      <w:proofErr w:type="spellEnd"/>
      <w:r>
        <w:rPr>
          <w:rFonts w:ascii="Arial" w:hAnsi="Arial"/>
          <w:sz w:val="24"/>
          <w:szCs w:val="24"/>
        </w:rPr>
        <w:t xml:space="preserve"> indstilles bekvemt fra traktorsædet via en dobbeltvirkende hydraulisk cylinder.  </w:t>
      </w:r>
    </w:p>
    <w:p w14:paraId="24A3721D" w14:textId="2D5D8094" w:rsidR="005C202C" w:rsidRDefault="005C202C" w:rsidP="00115487">
      <w:pPr>
        <w:pStyle w:val="Textkrper3"/>
        <w:spacing w:after="0" w:line="360" w:lineRule="auto"/>
        <w:jc w:val="both"/>
        <w:rPr>
          <w:rFonts w:ascii="Arial" w:hAnsi="Arial"/>
          <w:sz w:val="24"/>
          <w:szCs w:val="24"/>
        </w:rPr>
      </w:pPr>
    </w:p>
    <w:p w14:paraId="771A7086" w14:textId="3B2D8CC5" w:rsidR="005C202C" w:rsidRPr="0030142C" w:rsidRDefault="005C202C" w:rsidP="00115487">
      <w:pPr>
        <w:pStyle w:val="Textkrper3"/>
        <w:spacing w:after="0" w:line="360" w:lineRule="auto"/>
        <w:jc w:val="both"/>
        <w:rPr>
          <w:rFonts w:ascii="Arial" w:hAnsi="Arial"/>
          <w:sz w:val="24"/>
          <w:szCs w:val="24"/>
        </w:rPr>
      </w:pPr>
      <w:r>
        <w:rPr>
          <w:rFonts w:ascii="Arial" w:hAnsi="Arial"/>
          <w:sz w:val="24"/>
          <w:szCs w:val="24"/>
        </w:rPr>
        <w:t>Med den nye HIT 16.18 T introducerer Pöttinger en vender i særklasse for bedste arbejdsresultat: stor slagstyrke, men er samtidig skånsom mod foder og jord, til opfyldelse af landmandens behov.</w:t>
      </w:r>
    </w:p>
    <w:p w14:paraId="71285EB5" w14:textId="77777777" w:rsidR="008F1E41" w:rsidRPr="008F1E41" w:rsidRDefault="004C7F5C" w:rsidP="004C7F5C">
      <w:pPr>
        <w:pStyle w:val="Textkrper3"/>
        <w:rPr>
          <w:rFonts w:ascii="Arial" w:hAnsi="Arial" w:cs="Arial"/>
          <w:b/>
          <w:sz w:val="24"/>
          <w:szCs w:val="24"/>
        </w:rPr>
      </w:pPr>
      <w:r>
        <w:rPr>
          <w:rFonts w:ascii="Arial" w:hAnsi="Arial"/>
          <w:b/>
          <w:sz w:val="24"/>
          <w:szCs w:val="24"/>
        </w:rPr>
        <w:t xml:space="preserve">Billede:  </w:t>
      </w:r>
    </w:p>
    <w:tbl>
      <w:tblPr>
        <w:tblStyle w:val="Tabellenraster"/>
        <w:tblW w:w="0" w:type="auto"/>
        <w:tblLook w:val="04A0" w:firstRow="1" w:lastRow="0" w:firstColumn="1" w:lastColumn="0" w:noHBand="0" w:noVBand="1"/>
      </w:tblPr>
      <w:tblGrid>
        <w:gridCol w:w="4151"/>
        <w:gridCol w:w="4152"/>
      </w:tblGrid>
      <w:tr w:rsidR="006621C7" w:rsidRPr="006621C7" w14:paraId="0033F5F0" w14:textId="77777777" w:rsidTr="006621C7">
        <w:tc>
          <w:tcPr>
            <w:tcW w:w="4151" w:type="dxa"/>
          </w:tcPr>
          <w:p w14:paraId="3EE18B78" w14:textId="77777777" w:rsidR="007D3560" w:rsidRDefault="007D3560" w:rsidP="006621C7">
            <w:pPr>
              <w:pStyle w:val="Textkrper3"/>
              <w:jc w:val="center"/>
              <w:rPr>
                <w:noProof/>
              </w:rPr>
            </w:pPr>
          </w:p>
          <w:p w14:paraId="1878E995" w14:textId="1DFE1054" w:rsidR="003073C0" w:rsidRDefault="007D3560" w:rsidP="007D3560">
            <w:pPr>
              <w:pStyle w:val="Textkrper3"/>
              <w:jc w:val="center"/>
              <w:rPr>
                <w:noProof/>
              </w:rPr>
            </w:pPr>
            <w:r>
              <w:rPr>
                <w:noProof/>
              </w:rPr>
              <w:drawing>
                <wp:inline distT="0" distB="0" distL="0" distR="0" wp14:anchorId="1EDB554E" wp14:editId="5F64616F">
                  <wp:extent cx="1143000" cy="7620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127B03A6" w14:textId="77777777" w:rsidR="0030142C" w:rsidRDefault="0030142C" w:rsidP="006621C7">
            <w:pPr>
              <w:pStyle w:val="Textkrper3"/>
              <w:jc w:val="center"/>
              <w:rPr>
                <w:noProof/>
              </w:rPr>
            </w:pPr>
          </w:p>
          <w:p w14:paraId="71A5C999" w14:textId="5335D3A3" w:rsidR="003073C0" w:rsidRDefault="007D3560" w:rsidP="0030142C">
            <w:pPr>
              <w:pStyle w:val="Textkrper3"/>
              <w:jc w:val="center"/>
              <w:rPr>
                <w:noProof/>
              </w:rPr>
            </w:pPr>
            <w:r>
              <w:rPr>
                <w:noProof/>
              </w:rPr>
              <w:drawing>
                <wp:inline distT="0" distB="0" distL="0" distR="0" wp14:anchorId="5305074E" wp14:editId="02F6152E">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6621C7" w:rsidRPr="007D3560" w14:paraId="6D54A251" w14:textId="77777777" w:rsidTr="006621C7">
        <w:tc>
          <w:tcPr>
            <w:tcW w:w="4151" w:type="dxa"/>
          </w:tcPr>
          <w:p w14:paraId="646E9555" w14:textId="04BCFE1A" w:rsidR="006621C7" w:rsidRPr="006621C7" w:rsidRDefault="0030142C" w:rsidP="006621C7">
            <w:pPr>
              <w:pStyle w:val="Textkrper3"/>
              <w:jc w:val="center"/>
              <w:rPr>
                <w:rFonts w:ascii="Arial" w:hAnsi="Arial" w:cs="Arial"/>
                <w:sz w:val="22"/>
                <w:szCs w:val="22"/>
              </w:rPr>
            </w:pPr>
            <w:r>
              <w:rPr>
                <w:rFonts w:ascii="Arial" w:hAnsi="Arial"/>
                <w:sz w:val="22"/>
                <w:szCs w:val="22"/>
              </w:rPr>
              <w:t>Den nye store HIT 16.18 T for bedste spredningskvalitet</w:t>
            </w:r>
          </w:p>
        </w:tc>
        <w:tc>
          <w:tcPr>
            <w:tcW w:w="4152" w:type="dxa"/>
          </w:tcPr>
          <w:p w14:paraId="0163D0F9" w14:textId="01C12001" w:rsidR="006621C7" w:rsidRPr="006621C7" w:rsidRDefault="0030142C" w:rsidP="006621C7">
            <w:pPr>
              <w:pStyle w:val="Textkrper3"/>
              <w:jc w:val="center"/>
              <w:rPr>
                <w:rFonts w:ascii="Arial" w:hAnsi="Arial" w:cs="Arial"/>
                <w:sz w:val="22"/>
                <w:szCs w:val="22"/>
              </w:rPr>
            </w:pPr>
            <w:r>
              <w:rPr>
                <w:rFonts w:ascii="Arial" w:hAnsi="Arial"/>
                <w:sz w:val="22"/>
                <w:szCs w:val="22"/>
              </w:rPr>
              <w:t>HIT 16.18 T overbeviser med perfekt konturtilpasning</w:t>
            </w:r>
          </w:p>
        </w:tc>
      </w:tr>
      <w:tr w:rsidR="0030142C" w:rsidRPr="007D3560" w14:paraId="295AAA49" w14:textId="77777777" w:rsidTr="006621C7">
        <w:tc>
          <w:tcPr>
            <w:tcW w:w="4151" w:type="dxa"/>
          </w:tcPr>
          <w:p w14:paraId="62E3F0AA" w14:textId="6D562DD3" w:rsidR="006621C7" w:rsidRPr="007D3560" w:rsidRDefault="00970885" w:rsidP="003073C0">
            <w:pPr>
              <w:pStyle w:val="Textkrper3"/>
              <w:jc w:val="center"/>
              <w:rPr>
                <w:rFonts w:ascii="Arial" w:hAnsi="Arial" w:cs="Arial"/>
                <w:color w:val="FF00FF"/>
                <w:sz w:val="20"/>
                <w:szCs w:val="20"/>
              </w:rPr>
            </w:pPr>
            <w:hyperlink r:id="rId10" w:history="1">
              <w:r w:rsidR="007D3560">
                <w:rPr>
                  <w:rFonts w:ascii="Arial" w:hAnsi="Arial"/>
                  <w:color w:val="0000FF"/>
                  <w:sz w:val="20"/>
                  <w:szCs w:val="20"/>
                  <w:u w:val="single"/>
                </w:rPr>
                <w:t>https://www.poettinger.at/de_at/Newsroom/Pressebild/4530</w:t>
              </w:r>
            </w:hyperlink>
          </w:p>
        </w:tc>
        <w:tc>
          <w:tcPr>
            <w:tcW w:w="4152" w:type="dxa"/>
          </w:tcPr>
          <w:p w14:paraId="5D949D12" w14:textId="6B3010AF" w:rsidR="006621C7" w:rsidRPr="007D3560" w:rsidRDefault="00970885" w:rsidP="003073C0">
            <w:pPr>
              <w:pStyle w:val="Textkrper3"/>
              <w:jc w:val="center"/>
              <w:rPr>
                <w:rFonts w:ascii="Arial" w:hAnsi="Arial" w:cs="Arial"/>
                <w:color w:val="0000FF"/>
                <w:sz w:val="20"/>
                <w:szCs w:val="20"/>
                <w:u w:val="single"/>
              </w:rPr>
            </w:pPr>
            <w:hyperlink r:id="rId11" w:history="1">
              <w:r w:rsidR="007D3560">
                <w:rPr>
                  <w:rFonts w:ascii="Arial" w:hAnsi="Arial"/>
                  <w:color w:val="0000FF"/>
                  <w:sz w:val="20"/>
                  <w:szCs w:val="20"/>
                  <w:u w:val="single"/>
                </w:rPr>
                <w:t>https://www.poettinger.at/de_at/Newsroom/Pressebild/4531</w:t>
              </w:r>
            </w:hyperlink>
          </w:p>
        </w:tc>
      </w:tr>
    </w:tbl>
    <w:p w14:paraId="27D86C82" w14:textId="77777777" w:rsidR="006621C7" w:rsidRPr="006621C7" w:rsidRDefault="006621C7" w:rsidP="004C7F5C">
      <w:pPr>
        <w:pStyle w:val="Textkrper3"/>
      </w:pPr>
    </w:p>
    <w:p w14:paraId="6A9CDFD8" w14:textId="3C0841F7" w:rsidR="007D3560" w:rsidRPr="0070603A" w:rsidRDefault="00A753F3" w:rsidP="004C157C">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Flere printoptimerede billeder: </w:t>
      </w:r>
      <w:hyperlink r:id="rId12" w:history="1">
        <w:r>
          <w:rPr>
            <w:rStyle w:val="Hyperlink"/>
            <w:rFonts w:ascii="Arial" w:hAnsi="Arial"/>
            <w:snapToGrid w:val="0"/>
          </w:rPr>
          <w:t>http://www.poettinger.at/presse</w:t>
        </w:r>
      </w:hyperlink>
    </w:p>
    <w:sectPr w:rsidR="007D3560" w:rsidRPr="0070603A" w:rsidSect="00774C2F">
      <w:headerReference w:type="even" r:id="rId13"/>
      <w:headerReference w:type="default" r:id="rId14"/>
      <w:footerReference w:type="even" r:id="rId15"/>
      <w:footerReference w:type="default" r:id="rId16"/>
      <w:headerReference w:type="first" r:id="rId17"/>
      <w:footerReference w:type="first" r:id="rId18"/>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E62CF" w14:textId="77777777" w:rsidR="00970885" w:rsidRDefault="009708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70603A" w:rsidRDefault="004C157C" w:rsidP="000072D4">
    <w:pPr>
      <w:rPr>
        <w:rFonts w:ascii="Arial" w:hAnsi="Arial" w:cs="Arial"/>
        <w:b/>
        <w:sz w:val="18"/>
        <w:szCs w:val="18"/>
        <w:lang w:val="de-DE"/>
      </w:rPr>
    </w:pPr>
    <w:r w:rsidRPr="0070603A">
      <w:rPr>
        <w:rFonts w:ascii="Arial" w:hAnsi="Arial"/>
        <w:b/>
        <w:sz w:val="18"/>
        <w:szCs w:val="18"/>
        <w:lang w:val="de-DE"/>
      </w:rPr>
      <w:t>PÖTTINGER Landtechnik GmbH - virksomhedskommunikation</w:t>
    </w:r>
  </w:p>
  <w:p w14:paraId="6298482F" w14:textId="77777777" w:rsidR="004C157C" w:rsidRPr="0070603A" w:rsidRDefault="004C157C" w:rsidP="000072D4">
    <w:pPr>
      <w:rPr>
        <w:rFonts w:ascii="Arial" w:hAnsi="Arial" w:cs="Arial"/>
        <w:sz w:val="18"/>
        <w:szCs w:val="18"/>
        <w:lang w:val="de-DE"/>
      </w:rPr>
    </w:pPr>
    <w:r w:rsidRPr="0070603A">
      <w:rPr>
        <w:rFonts w:ascii="Arial" w:hAnsi="Arial"/>
        <w:sz w:val="18"/>
        <w:szCs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rPr>
    </w:pPr>
    <w:r>
      <w:rPr>
        <w:rFonts w:ascii="Arial" w:hAnsi="Arial"/>
        <w:sz w:val="18"/>
        <w:szCs w:val="18"/>
      </w:rPr>
      <w:t xml:space="preserve">Tlf.: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sz w:val="18"/>
        <w:szCs w:val="18"/>
      </w:rPr>
      <w:t>1</w:t>
    </w:r>
    <w:r w:rsidR="005C1C9B" w:rsidRPr="002B6977">
      <w:rPr>
        <w:rStyle w:val="Seitenzahl"/>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2956C" w14:textId="77777777" w:rsidR="00970885" w:rsidRDefault="009708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AF5FE" w14:textId="77777777" w:rsidR="00970885" w:rsidRDefault="009708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5C38320F" w:rsidR="004C157C" w:rsidRPr="00164A93" w:rsidRDefault="00970885" w:rsidP="00164A93">
    <w:pPr>
      <w:pStyle w:val="Kopfzeile"/>
      <w:rPr>
        <w:rFonts w:ascii="Arial" w:hAnsi="Arial" w:cs="Arial"/>
        <w:sz w:val="28"/>
        <w:szCs w:val="28"/>
      </w:rPr>
    </w:pPr>
    <w:r>
      <w:rPr>
        <w:rFonts w:ascii="Arial" w:hAnsi="Arial"/>
        <w:b/>
      </w:rPr>
      <w:t>Pressemeddelelse</w:t>
    </w:r>
    <w:r>
      <w:rPr>
        <w:noProof/>
      </w:rPr>
      <w:t xml:space="preserve">                                        </w:t>
    </w:r>
    <w:r>
      <w:rPr>
        <w:noProof/>
      </w:rPr>
      <w:t xml:space="preserve"> </w:t>
    </w:r>
    <w:bookmarkStart w:id="0" w:name="_GoBack"/>
    <w:r w:rsidR="004C157C">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bookmarkEnd w:id="0"/>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87317" w14:textId="77777777" w:rsidR="00970885" w:rsidRDefault="009708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82B0D"/>
    <w:rsid w:val="00083771"/>
    <w:rsid w:val="0009699E"/>
    <w:rsid w:val="00096D82"/>
    <w:rsid w:val="000A117E"/>
    <w:rsid w:val="000A37F5"/>
    <w:rsid w:val="000A668E"/>
    <w:rsid w:val="000D3CD3"/>
    <w:rsid w:val="000D4DE0"/>
    <w:rsid w:val="000F5005"/>
    <w:rsid w:val="0010245E"/>
    <w:rsid w:val="00110880"/>
    <w:rsid w:val="00115487"/>
    <w:rsid w:val="001212C1"/>
    <w:rsid w:val="001357A3"/>
    <w:rsid w:val="00154644"/>
    <w:rsid w:val="00164A93"/>
    <w:rsid w:val="00181F74"/>
    <w:rsid w:val="00203C95"/>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1523"/>
    <w:rsid w:val="00321D04"/>
    <w:rsid w:val="003225B2"/>
    <w:rsid w:val="00325C60"/>
    <w:rsid w:val="00356920"/>
    <w:rsid w:val="00362490"/>
    <w:rsid w:val="00365C9B"/>
    <w:rsid w:val="00371105"/>
    <w:rsid w:val="00385339"/>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F2AD2"/>
    <w:rsid w:val="00512257"/>
    <w:rsid w:val="0051518A"/>
    <w:rsid w:val="00516783"/>
    <w:rsid w:val="00523E61"/>
    <w:rsid w:val="00537C30"/>
    <w:rsid w:val="0055684C"/>
    <w:rsid w:val="00580261"/>
    <w:rsid w:val="005C1C9B"/>
    <w:rsid w:val="005C202C"/>
    <w:rsid w:val="005C35CD"/>
    <w:rsid w:val="005F6501"/>
    <w:rsid w:val="00620C04"/>
    <w:rsid w:val="006529B2"/>
    <w:rsid w:val="006621C7"/>
    <w:rsid w:val="00676E15"/>
    <w:rsid w:val="00693EC5"/>
    <w:rsid w:val="006C0A2F"/>
    <w:rsid w:val="006D26D5"/>
    <w:rsid w:val="006D6056"/>
    <w:rsid w:val="006E48E1"/>
    <w:rsid w:val="006F2305"/>
    <w:rsid w:val="006F4355"/>
    <w:rsid w:val="00700516"/>
    <w:rsid w:val="0070603A"/>
    <w:rsid w:val="007223E2"/>
    <w:rsid w:val="007375FD"/>
    <w:rsid w:val="00745154"/>
    <w:rsid w:val="00746691"/>
    <w:rsid w:val="007608A1"/>
    <w:rsid w:val="007653E5"/>
    <w:rsid w:val="00767BB1"/>
    <w:rsid w:val="0077111A"/>
    <w:rsid w:val="00774C2F"/>
    <w:rsid w:val="00784684"/>
    <w:rsid w:val="00787CD1"/>
    <w:rsid w:val="00790394"/>
    <w:rsid w:val="007B7B85"/>
    <w:rsid w:val="007D08A4"/>
    <w:rsid w:val="007D3560"/>
    <w:rsid w:val="007F1626"/>
    <w:rsid w:val="0085104F"/>
    <w:rsid w:val="00896EDB"/>
    <w:rsid w:val="008A2819"/>
    <w:rsid w:val="008A6D0C"/>
    <w:rsid w:val="008B4166"/>
    <w:rsid w:val="008C0A6D"/>
    <w:rsid w:val="008D66F5"/>
    <w:rsid w:val="008E2CC1"/>
    <w:rsid w:val="008F08D0"/>
    <w:rsid w:val="008F1E41"/>
    <w:rsid w:val="008F25AE"/>
    <w:rsid w:val="008F2753"/>
    <w:rsid w:val="00902F84"/>
    <w:rsid w:val="009051BF"/>
    <w:rsid w:val="00907CA1"/>
    <w:rsid w:val="00913992"/>
    <w:rsid w:val="00921E4F"/>
    <w:rsid w:val="009252FC"/>
    <w:rsid w:val="00950F30"/>
    <w:rsid w:val="009615C8"/>
    <w:rsid w:val="00961D21"/>
    <w:rsid w:val="00967928"/>
    <w:rsid w:val="00970885"/>
    <w:rsid w:val="00972F87"/>
    <w:rsid w:val="0098260E"/>
    <w:rsid w:val="00986666"/>
    <w:rsid w:val="009866A7"/>
    <w:rsid w:val="009B3A73"/>
    <w:rsid w:val="009C3D5A"/>
    <w:rsid w:val="009F47C5"/>
    <w:rsid w:val="009F58E4"/>
    <w:rsid w:val="00A02FB2"/>
    <w:rsid w:val="00A0380D"/>
    <w:rsid w:val="00A10D72"/>
    <w:rsid w:val="00A17CC2"/>
    <w:rsid w:val="00A3063B"/>
    <w:rsid w:val="00A330F1"/>
    <w:rsid w:val="00A67500"/>
    <w:rsid w:val="00A753F3"/>
    <w:rsid w:val="00AA3D20"/>
    <w:rsid w:val="00AB0934"/>
    <w:rsid w:val="00AB4167"/>
    <w:rsid w:val="00AB70FA"/>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51C9"/>
    <w:rsid w:val="00C13194"/>
    <w:rsid w:val="00C255A6"/>
    <w:rsid w:val="00C81E42"/>
    <w:rsid w:val="00C86DB6"/>
    <w:rsid w:val="00C954F7"/>
    <w:rsid w:val="00CA199E"/>
    <w:rsid w:val="00CB670D"/>
    <w:rsid w:val="00CF042C"/>
    <w:rsid w:val="00CF19B0"/>
    <w:rsid w:val="00D01E89"/>
    <w:rsid w:val="00D152A5"/>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554DD"/>
    <w:rsid w:val="00E76C27"/>
    <w:rsid w:val="00E76E99"/>
    <w:rsid w:val="00EB547A"/>
    <w:rsid w:val="00ED05DF"/>
    <w:rsid w:val="00ED2B8F"/>
    <w:rsid w:val="00ED7A66"/>
    <w:rsid w:val="00F058CF"/>
    <w:rsid w:val="00F132D5"/>
    <w:rsid w:val="00F22A2A"/>
    <w:rsid w:val="00F23BE8"/>
    <w:rsid w:val="00F35ADA"/>
    <w:rsid w:val="00F5003E"/>
    <w:rsid w:val="00F538B9"/>
    <w:rsid w:val="00FA1F6B"/>
    <w:rsid w:val="00FA51E9"/>
    <w:rsid w:val="00FB311F"/>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da-DK"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da-DK"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ettinger.at/de_at/Newsroom/Pressebild/45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1691A-A2A7-49C0-9E99-F0437F06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FABBBE0C.dotm</Template>
  <TotalTime>0</TotalTime>
  <Pages>2</Pages>
  <Words>473</Words>
  <Characters>2983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2020-06-17T12:24:00Z</cp:lastPrinted>
  <dcterms:created xsi:type="dcterms:W3CDTF">2020-08-04T06:33:00Z</dcterms:created>
  <dcterms:modified xsi:type="dcterms:W3CDTF">2020-08-04T06:33:00Z</dcterms:modified>
</cp:coreProperties>
</file>