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8C" w:rsidRDefault="002F578C" w:rsidP="004E7E8C">
      <w:pPr>
        <w:spacing w:line="360" w:lineRule="auto"/>
        <w:rPr>
          <w:rFonts w:ascii="Arial" w:hAnsi="Arial"/>
          <w:sz w:val="40"/>
          <w:szCs w:val="40"/>
          <w:lang w:val="de-DE"/>
        </w:rPr>
      </w:pPr>
      <w:proofErr w:type="spellStart"/>
      <w:r>
        <w:rPr>
          <w:rFonts w:ascii="Arial" w:hAnsi="Arial"/>
          <w:sz w:val="40"/>
          <w:szCs w:val="40"/>
          <w:lang w:val="de-DE"/>
        </w:rPr>
        <w:t>Pöttinger</w:t>
      </w:r>
      <w:proofErr w:type="spellEnd"/>
      <w:r>
        <w:rPr>
          <w:rFonts w:ascii="Arial" w:hAnsi="Arial"/>
          <w:sz w:val="40"/>
          <w:szCs w:val="40"/>
          <w:lang w:val="de-DE"/>
        </w:rPr>
        <w:t xml:space="preserve">: 4 x Silber beim </w:t>
      </w:r>
      <w:r w:rsidR="004E7E8C">
        <w:rPr>
          <w:rFonts w:ascii="Arial" w:hAnsi="Arial"/>
          <w:sz w:val="40"/>
          <w:szCs w:val="40"/>
          <w:lang w:val="de-DE"/>
        </w:rPr>
        <w:t xml:space="preserve">Innovation Award </w:t>
      </w: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i/>
          <w:lang w:val="de-DE"/>
        </w:rPr>
      </w:pPr>
      <w:r w:rsidRPr="002F578C">
        <w:rPr>
          <w:rFonts w:ascii="Arial" w:hAnsi="Arial"/>
          <w:i/>
          <w:lang w:val="de-DE"/>
        </w:rPr>
        <w:t>Eine unabhängige Expertenkommission der DLG (Deutsche Landwirtschafts</w:t>
      </w:r>
      <w:r w:rsidR="00070C43">
        <w:rPr>
          <w:rFonts w:ascii="Arial" w:hAnsi="Arial"/>
          <w:i/>
          <w:lang w:val="de-DE"/>
        </w:rPr>
        <w:t>-</w:t>
      </w:r>
      <w:r w:rsidRPr="002F578C">
        <w:rPr>
          <w:rFonts w:ascii="Arial" w:hAnsi="Arial"/>
          <w:i/>
          <w:lang w:val="de-DE"/>
        </w:rPr>
        <w:t xml:space="preserve">Gesellschaft) hat </w:t>
      </w:r>
      <w:r w:rsidR="00070C43">
        <w:rPr>
          <w:rFonts w:ascii="Arial" w:hAnsi="Arial"/>
          <w:i/>
          <w:lang w:val="de-DE"/>
        </w:rPr>
        <w:t>aus 320 Neuheiten-Anmeldungen</w:t>
      </w:r>
      <w:r w:rsidRPr="002F578C">
        <w:rPr>
          <w:rFonts w:ascii="Arial" w:hAnsi="Arial"/>
          <w:i/>
          <w:lang w:val="de-DE"/>
        </w:rPr>
        <w:t xml:space="preserve"> vier innovative Projekte des österreichischen Landtechnikherstellers </w:t>
      </w:r>
      <w:proofErr w:type="spellStart"/>
      <w:r w:rsidRPr="002F578C">
        <w:rPr>
          <w:rFonts w:ascii="Arial" w:hAnsi="Arial"/>
          <w:i/>
          <w:lang w:val="de-DE"/>
        </w:rPr>
        <w:t>Pöttinger</w:t>
      </w:r>
      <w:proofErr w:type="spellEnd"/>
      <w:r w:rsidRPr="002F578C">
        <w:rPr>
          <w:rFonts w:ascii="Arial" w:hAnsi="Arial"/>
          <w:i/>
          <w:lang w:val="de-DE"/>
        </w:rPr>
        <w:t xml:space="preserve"> mit </w:t>
      </w:r>
      <w:r w:rsidR="00070C43">
        <w:rPr>
          <w:rFonts w:ascii="Arial" w:hAnsi="Arial"/>
          <w:i/>
          <w:lang w:val="de-DE"/>
        </w:rPr>
        <w:t xml:space="preserve">dem Innovation Award in </w:t>
      </w:r>
      <w:r w:rsidRPr="002F578C">
        <w:rPr>
          <w:rFonts w:ascii="Arial" w:hAnsi="Arial"/>
          <w:i/>
          <w:lang w:val="de-DE"/>
        </w:rPr>
        <w:t>Silber ausgezeichnet:</w:t>
      </w: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</w:p>
    <w:p w:rsidR="004E7E8C" w:rsidRPr="00F1106A" w:rsidRDefault="002F578C" w:rsidP="004E7E8C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Silber: </w:t>
      </w:r>
      <w:proofErr w:type="spellStart"/>
      <w:r w:rsidR="004E7E8C">
        <w:rPr>
          <w:rFonts w:ascii="Arial" w:hAnsi="Arial"/>
          <w:sz w:val="40"/>
          <w:szCs w:val="40"/>
          <w:lang w:val="de-DE"/>
        </w:rPr>
        <w:t>Pöttinger</w:t>
      </w:r>
      <w:proofErr w:type="spellEnd"/>
      <w:r w:rsidR="004E7E8C">
        <w:rPr>
          <w:rFonts w:ascii="Arial" w:hAnsi="Arial"/>
          <w:sz w:val="40"/>
          <w:szCs w:val="40"/>
          <w:lang w:val="de-DE"/>
        </w:rPr>
        <w:t xml:space="preserve"> SENSOSAFE Tiererkennung</w:t>
      </w: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  <w:r w:rsidRPr="002F578C">
        <w:rPr>
          <w:rFonts w:ascii="Arial" w:hAnsi="Arial"/>
          <w:lang w:val="de-DE"/>
        </w:rPr>
        <w:t xml:space="preserve">Mit der weltweit ersten automatisierten Tiererkennung SENSOSAFE zur Vermeidung des Mähens von Rehkitzen gelang eine richtungsweisende Entwicklung. Der direkt am </w:t>
      </w:r>
      <w:proofErr w:type="spellStart"/>
      <w:r w:rsidRPr="002F578C">
        <w:rPr>
          <w:rFonts w:ascii="Arial" w:hAnsi="Arial"/>
          <w:lang w:val="de-DE"/>
        </w:rPr>
        <w:t>Mähwerk</w:t>
      </w:r>
      <w:proofErr w:type="spellEnd"/>
      <w:r w:rsidRPr="002F578C">
        <w:rPr>
          <w:rFonts w:ascii="Arial" w:hAnsi="Arial"/>
          <w:lang w:val="de-DE"/>
        </w:rPr>
        <w:t xml:space="preserve"> angebrachte optische Infrarot-Sensor SENSOSAFE erkennt Rehkitze, die vor dem </w:t>
      </w:r>
      <w:proofErr w:type="spellStart"/>
      <w:r w:rsidRPr="002F578C">
        <w:rPr>
          <w:rFonts w:ascii="Arial" w:hAnsi="Arial"/>
          <w:lang w:val="de-DE"/>
        </w:rPr>
        <w:t>Mähwerk</w:t>
      </w:r>
      <w:proofErr w:type="spellEnd"/>
      <w:r w:rsidRPr="002F578C">
        <w:rPr>
          <w:rFonts w:ascii="Arial" w:hAnsi="Arial"/>
          <w:lang w:val="de-DE"/>
        </w:rPr>
        <w:t xml:space="preserve"> im Gras verborgen liegen und für den Fahrer nicht sichtbar sind. Detektiert SENSOSAFE ein Kitz, sendet er ein Signal an die Mähwerkshydraulik und das </w:t>
      </w:r>
      <w:proofErr w:type="spellStart"/>
      <w:r w:rsidRPr="002F578C">
        <w:rPr>
          <w:rFonts w:ascii="Arial" w:hAnsi="Arial"/>
          <w:lang w:val="de-DE"/>
        </w:rPr>
        <w:t>Mähwerk</w:t>
      </w:r>
      <w:proofErr w:type="spellEnd"/>
      <w:r w:rsidRPr="002F578C">
        <w:rPr>
          <w:rFonts w:ascii="Arial" w:hAnsi="Arial"/>
          <w:lang w:val="de-DE"/>
        </w:rPr>
        <w:t xml:space="preserve"> wird blitzschnell automatisch angehoben.</w:t>
      </w:r>
    </w:p>
    <w:p w:rsidR="002F578C" w:rsidRPr="002F578C" w:rsidRDefault="002F578C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>Zum Pressetext:</w:t>
      </w:r>
    </w:p>
    <w:p w:rsidR="002F578C" w:rsidRDefault="00010F1D" w:rsidP="004E7E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8" w:history="1"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https://www.poettinger.at/landtechnik/</w:t>
        </w:r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d</w:t>
        </w:r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ownload/pressetexte/POETTINGER_Sensosafe_DE.docx</w:t>
        </w:r>
      </w:hyperlink>
    </w:p>
    <w:p w:rsidR="00440048" w:rsidRPr="002F578C" w:rsidRDefault="00440048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>Bildervorschau:</w:t>
      </w:r>
    </w:p>
    <w:p w:rsidR="00440048" w:rsidRDefault="00440048" w:rsidP="004E7E8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14375"/>
            <wp:effectExtent l="19050" t="0" r="0" b="0"/>
            <wp:docPr id="1" name="Bild 1" descr="https://cdn.poettinger.at/img/landtechnik/collection/scheibenmaeher/sensosafe_th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sensosafe_th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48" w:rsidRPr="00440048" w:rsidRDefault="00440048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440048">
        <w:rPr>
          <w:rFonts w:ascii="Arial" w:hAnsi="Arial"/>
          <w:b/>
          <w:sz w:val="22"/>
          <w:szCs w:val="22"/>
          <w:lang w:val="de-DE"/>
        </w:rPr>
        <w:t>SENSOSAFE</w:t>
      </w:r>
    </w:p>
    <w:p w:rsidR="00440048" w:rsidRDefault="006B68CD" w:rsidP="004E7E8C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hyperlink r:id="rId11" w:history="1">
        <w:r w:rsidR="00440048" w:rsidRPr="001964C8">
          <w:rPr>
            <w:rStyle w:val="Hyperlink"/>
            <w:rFonts w:ascii="Arial" w:hAnsi="Arial"/>
            <w:sz w:val="20"/>
            <w:szCs w:val="20"/>
            <w:lang w:val="de-DE"/>
          </w:rPr>
          <w:t>https://www.poettinger.at/de_at/Newsro</w:t>
        </w:r>
        <w:r w:rsidR="00440048" w:rsidRPr="001964C8">
          <w:rPr>
            <w:rStyle w:val="Hyperlink"/>
            <w:rFonts w:ascii="Arial" w:hAnsi="Arial"/>
            <w:sz w:val="20"/>
            <w:szCs w:val="20"/>
            <w:lang w:val="de-DE"/>
          </w:rPr>
          <w:t>o</w:t>
        </w:r>
        <w:r w:rsidR="00440048" w:rsidRPr="001964C8">
          <w:rPr>
            <w:rStyle w:val="Hyperlink"/>
            <w:rFonts w:ascii="Arial" w:hAnsi="Arial"/>
            <w:sz w:val="20"/>
            <w:szCs w:val="20"/>
            <w:lang w:val="de-DE"/>
          </w:rPr>
          <w:t>m/Pressebild/3944</w:t>
        </w:r>
      </w:hyperlink>
    </w:p>
    <w:p w:rsidR="00F67DB8" w:rsidRDefault="00F67DB8" w:rsidP="00F67DB8">
      <w:pPr>
        <w:jc w:val="both"/>
        <w:rPr>
          <w:rFonts w:ascii="Arial" w:hAnsi="Arial" w:cs="Arial"/>
          <w:lang w:val="de-DE"/>
        </w:rPr>
      </w:pPr>
    </w:p>
    <w:p w:rsidR="002F578C" w:rsidRPr="00F1106A" w:rsidRDefault="002F578C" w:rsidP="002F578C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>Silber: Kameragestützte Saatbettbereitung</w:t>
      </w:r>
    </w:p>
    <w:p w:rsid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  <w:r w:rsidRPr="002F578C">
        <w:rPr>
          <w:rFonts w:ascii="Arial" w:hAnsi="Arial"/>
          <w:lang w:val="de-DE"/>
        </w:rPr>
        <w:t>Die kameragestützte Saatbettbereitung ermöglicht eine konstante, immer dem Bodenzustand entsprechende Saatbettbereitung und Saatguteinbettung. Das System misst direkt und live die Oberflächen-Rauheit des Bodens, basierend auf einer Stereo-Kamera, die zwischen Kreiselegge und Sämaschine platziert ist. Entsprechend den Rauheits-Messwerten werden über eine ISOBUS Class III Anwendung die Zapfwellendrehzahl und Fahrgeschwindigkeit des Traktors geregelt. Damit steuert das Gerät automatisch und angepasst an die wechselnden Bodengegebenheiten den Traktor.</w:t>
      </w:r>
    </w:p>
    <w:p w:rsid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>Zum Pressetext:</w:t>
      </w:r>
    </w:p>
    <w:p w:rsidR="002F578C" w:rsidRDefault="00010F1D" w:rsidP="002F57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12" w:history="1"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https://www.poettinger.at/landtechnik/download/pressetexte/POETTINGER_Kameragestuetzte-Saatbettbere</w:t>
        </w:r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i</w:t>
        </w:r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tung_DE.docx</w:t>
        </w:r>
      </w:hyperlink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>Bildervorschau:</w:t>
      </w:r>
    </w:p>
    <w:p w:rsidR="002F578C" w:rsidRDefault="002F578C" w:rsidP="002F578C">
      <w:pPr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552450"/>
            <wp:effectExtent l="19050" t="0" r="0" b="0"/>
            <wp:docPr id="6" name="Bild 1" descr="https://cdn.poettinger.at/img/landtechnik/collection/saemaschinen/Kameragestuetzte_Saatbettbereitung_th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Kameragestuetzte_Saatbettbereitung_th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8C" w:rsidRDefault="002F578C" w:rsidP="002F578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Kameragestützte Saatbettbereitung</w:t>
      </w:r>
    </w:p>
    <w:p w:rsidR="002F578C" w:rsidRPr="00877A1A" w:rsidRDefault="002F578C" w:rsidP="002F578C">
      <w:pPr>
        <w:rPr>
          <w:rFonts w:ascii="Arial" w:hAnsi="Arial" w:cs="Arial"/>
          <w:sz w:val="20"/>
          <w:szCs w:val="20"/>
          <w:lang w:val="de-DE"/>
        </w:rPr>
      </w:pPr>
      <w:hyperlink r:id="rId15" w:history="1">
        <w:r w:rsidRPr="00877A1A">
          <w:rPr>
            <w:rStyle w:val="Hyperlink"/>
            <w:rFonts w:ascii="Arial" w:hAnsi="Arial" w:cs="Arial"/>
            <w:sz w:val="20"/>
            <w:szCs w:val="20"/>
            <w:lang w:val="de-DE"/>
          </w:rPr>
          <w:t>https://www.poettinger.at/de_at/Newsroom/Pressebild/3943</w:t>
        </w:r>
      </w:hyperlink>
    </w:p>
    <w:p w:rsidR="002F578C" w:rsidRDefault="002F578C" w:rsidP="002F578C">
      <w:pPr>
        <w:rPr>
          <w:rFonts w:ascii="Arial" w:hAnsi="Arial" w:cs="Arial"/>
          <w:b/>
          <w:lang w:val="de-DE"/>
        </w:rPr>
      </w:pPr>
    </w:p>
    <w:p w:rsidR="002F578C" w:rsidRDefault="002F578C" w:rsidP="00070C43">
      <w:pPr>
        <w:jc w:val="both"/>
        <w:rPr>
          <w:rFonts w:ascii="Arial" w:hAnsi="Arial"/>
          <w:sz w:val="40"/>
          <w:szCs w:val="40"/>
          <w:lang w:val="de-DE"/>
        </w:rPr>
      </w:pPr>
      <w:r w:rsidRPr="002F578C">
        <w:rPr>
          <w:rFonts w:ascii="Arial" w:hAnsi="Arial"/>
          <w:sz w:val="40"/>
          <w:szCs w:val="40"/>
          <w:lang w:val="de-DE"/>
        </w:rPr>
        <w:t>Silber: PÖTPRO GUIDE auf Basis</w:t>
      </w:r>
    </w:p>
    <w:p w:rsidR="002F578C" w:rsidRPr="002F578C" w:rsidRDefault="002F578C" w:rsidP="00070C43">
      <w:pPr>
        <w:jc w:val="both"/>
        <w:rPr>
          <w:rFonts w:ascii="Arial" w:hAnsi="Arial"/>
          <w:sz w:val="40"/>
          <w:szCs w:val="40"/>
          <w:lang w:val="de-DE"/>
        </w:rPr>
      </w:pPr>
      <w:r w:rsidRPr="002F578C">
        <w:rPr>
          <w:rFonts w:ascii="Arial" w:hAnsi="Arial"/>
          <w:sz w:val="40"/>
          <w:szCs w:val="40"/>
          <w:lang w:val="de-DE"/>
        </w:rPr>
        <w:t xml:space="preserve">der Fliegl COUNTER SX </w:t>
      </w:r>
      <w:proofErr w:type="spellStart"/>
      <w:r w:rsidRPr="002F578C">
        <w:rPr>
          <w:rFonts w:ascii="Arial" w:hAnsi="Arial"/>
          <w:sz w:val="40"/>
          <w:szCs w:val="40"/>
          <w:lang w:val="de-DE"/>
        </w:rPr>
        <w:t>Beacon</w:t>
      </w:r>
      <w:proofErr w:type="spellEnd"/>
      <w:r w:rsidRPr="002F578C">
        <w:rPr>
          <w:rFonts w:ascii="Arial" w:hAnsi="Arial"/>
          <w:sz w:val="40"/>
          <w:szCs w:val="40"/>
          <w:lang w:val="de-DE"/>
        </w:rPr>
        <w:t xml:space="preserve"> Technologie</w:t>
      </w: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  <w:r w:rsidRPr="002F578C">
        <w:rPr>
          <w:rFonts w:ascii="Arial" w:hAnsi="Arial"/>
          <w:lang w:val="de-DE"/>
        </w:rPr>
        <w:t xml:space="preserve">PÖTPRO GUIDE basiert auf dem innovativen Fliegl COUNTER SX </w:t>
      </w:r>
      <w:proofErr w:type="spellStart"/>
      <w:r w:rsidRPr="002F578C">
        <w:rPr>
          <w:rFonts w:ascii="Arial" w:hAnsi="Arial"/>
          <w:lang w:val="de-DE"/>
        </w:rPr>
        <w:t>Beacon</w:t>
      </w:r>
      <w:proofErr w:type="spellEnd"/>
      <w:r w:rsidRPr="002F578C">
        <w:rPr>
          <w:rFonts w:ascii="Arial" w:hAnsi="Arial"/>
          <w:lang w:val="de-DE"/>
        </w:rPr>
        <w:t xml:space="preserve">, der die bisherige </w:t>
      </w:r>
      <w:proofErr w:type="spellStart"/>
      <w:r w:rsidRPr="002F578C">
        <w:rPr>
          <w:rFonts w:ascii="Arial" w:hAnsi="Arial"/>
          <w:lang w:val="de-DE"/>
        </w:rPr>
        <w:t>Beacon</w:t>
      </w:r>
      <w:proofErr w:type="spellEnd"/>
      <w:r w:rsidRPr="002F578C">
        <w:rPr>
          <w:rFonts w:ascii="Arial" w:hAnsi="Arial"/>
          <w:lang w:val="de-DE"/>
        </w:rPr>
        <w:t xml:space="preserve">-Technologie um Beschleunigungssensor, GPS, </w:t>
      </w:r>
      <w:proofErr w:type="spellStart"/>
      <w:r w:rsidRPr="002F578C">
        <w:rPr>
          <w:rFonts w:ascii="Arial" w:hAnsi="Arial"/>
          <w:lang w:val="de-DE"/>
        </w:rPr>
        <w:t>Sigfox</w:t>
      </w:r>
      <w:proofErr w:type="spellEnd"/>
      <w:r w:rsidRPr="002F578C">
        <w:rPr>
          <w:rFonts w:ascii="Arial" w:hAnsi="Arial"/>
          <w:lang w:val="de-DE"/>
        </w:rPr>
        <w:t xml:space="preserve"> und Spe</w:t>
      </w:r>
      <w:r w:rsidRPr="002F578C">
        <w:rPr>
          <w:rFonts w:ascii="Arial" w:hAnsi="Arial"/>
          <w:lang w:val="de-DE"/>
        </w:rPr>
        <w:t>i</w:t>
      </w:r>
      <w:r w:rsidRPr="002F578C">
        <w:rPr>
          <w:rFonts w:ascii="Arial" w:hAnsi="Arial"/>
          <w:lang w:val="de-DE"/>
        </w:rPr>
        <w:t>cher erweitert und aufgrund dieser Kombination in der Lage ist, in ganz verschied</w:t>
      </w:r>
      <w:r w:rsidRPr="002F578C">
        <w:rPr>
          <w:rFonts w:ascii="Arial" w:hAnsi="Arial"/>
          <w:lang w:val="de-DE"/>
        </w:rPr>
        <w:t>e</w:t>
      </w:r>
      <w:r w:rsidRPr="002F578C">
        <w:rPr>
          <w:rFonts w:ascii="Arial" w:hAnsi="Arial"/>
          <w:lang w:val="de-DE"/>
        </w:rPr>
        <w:t>nen Prozessen auf intelligente Art Daten zu erzeugen, zu speichern und weiterzug</w:t>
      </w:r>
      <w:r w:rsidRPr="002F578C">
        <w:rPr>
          <w:rFonts w:ascii="Arial" w:hAnsi="Arial"/>
          <w:lang w:val="de-DE"/>
        </w:rPr>
        <w:t>e</w:t>
      </w:r>
      <w:r w:rsidRPr="002F578C">
        <w:rPr>
          <w:rFonts w:ascii="Arial" w:hAnsi="Arial"/>
          <w:lang w:val="de-DE"/>
        </w:rPr>
        <w:t xml:space="preserve">ben. </w:t>
      </w: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>Zum Pressetext:</w:t>
      </w:r>
    </w:p>
    <w:p w:rsidR="002F578C" w:rsidRDefault="00010F1D" w:rsidP="002F57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16" w:history="1"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https://www.poettinger.at/landtechnik/download/pressetexte/POETTINGER_POETPRO_Guide_DE.docx</w:t>
        </w:r>
      </w:hyperlink>
    </w:p>
    <w:p w:rsidR="00010F1D" w:rsidRDefault="00010F1D" w:rsidP="002F578C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2F578C">
        <w:rPr>
          <w:rFonts w:ascii="Arial" w:hAnsi="Arial"/>
          <w:b/>
          <w:sz w:val="22"/>
          <w:szCs w:val="22"/>
          <w:lang w:val="de-DE"/>
        </w:rPr>
        <w:t xml:space="preserve">Bildervorschau: </w:t>
      </w:r>
    </w:p>
    <w:p w:rsidR="002F578C" w:rsidRDefault="006768FF" w:rsidP="002F578C">
      <w:pPr>
        <w:jc w:val="both"/>
        <w:rPr>
          <w:rFonts w:ascii="Arial" w:hAnsi="Arial" w:cs="Arial"/>
          <w:lang w:val="de-DE"/>
        </w:rPr>
      </w:pPr>
      <w:r w:rsidRPr="006768FF">
        <w:rPr>
          <w:rFonts w:ascii="Arial" w:hAnsi="Arial" w:cs="Arial"/>
          <w:lang w:val="de-DE"/>
        </w:rPr>
        <w:drawing>
          <wp:inline distT="0" distB="0" distL="0" distR="0">
            <wp:extent cx="1314450" cy="839124"/>
            <wp:effectExtent l="1905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72" cy="8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FF" w:rsidRDefault="006768FF" w:rsidP="002F578C">
      <w:pPr>
        <w:jc w:val="both"/>
        <w:rPr>
          <w:rFonts w:ascii="Arial" w:hAnsi="Arial" w:cs="Arial"/>
          <w:lang w:val="de-DE"/>
        </w:rPr>
      </w:pPr>
    </w:p>
    <w:p w:rsidR="00070C43" w:rsidRDefault="00A7744C" w:rsidP="002F578C">
      <w:pPr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18" w:history="1"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https://www.poettinger.at/de_at/Newsroom/Pressebild/3947</w:t>
        </w:r>
      </w:hyperlink>
    </w:p>
    <w:p w:rsidR="00A7744C" w:rsidRDefault="00A7744C" w:rsidP="002F578C">
      <w:pPr>
        <w:jc w:val="both"/>
        <w:rPr>
          <w:rFonts w:ascii="Arial" w:hAnsi="Arial" w:cs="Arial"/>
          <w:lang w:val="de-DE"/>
        </w:rPr>
      </w:pPr>
    </w:p>
    <w:p w:rsidR="002F578C" w:rsidRPr="002F578C" w:rsidRDefault="006768FF" w:rsidP="002F578C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de-DE" w:eastAsia="de-DE"/>
        </w:rPr>
      </w:pPr>
      <w:r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Silber: </w:t>
      </w:r>
      <w:proofErr w:type="spellStart"/>
      <w:r w:rsidR="002F578C" w:rsidRPr="002F578C">
        <w:rPr>
          <w:rFonts w:ascii="Arial" w:hAnsi="Arial" w:cs="Arial"/>
          <w:color w:val="000000"/>
          <w:sz w:val="40"/>
          <w:szCs w:val="40"/>
          <w:lang w:val="de-DE" w:eastAsia="de-DE"/>
        </w:rPr>
        <w:t>Agrirouter</w:t>
      </w:r>
      <w:proofErr w:type="spellEnd"/>
      <w:r w:rsidR="002F578C" w:rsidRPr="002F578C">
        <w:rPr>
          <w:rFonts w:ascii="Arial" w:hAnsi="Arial" w:cs="Arial"/>
          <w:color w:val="000000"/>
          <w:sz w:val="40"/>
          <w:szCs w:val="40"/>
          <w:lang w:val="de-DE" w:eastAsia="de-DE"/>
        </w:rPr>
        <w:t>, eine Gemeinschaftsentwicklung verschiedener Landtechnikhersteller</w:t>
      </w:r>
    </w:p>
    <w:p w:rsidR="00070C43" w:rsidRDefault="00070C43" w:rsidP="002F578C">
      <w:pPr>
        <w:spacing w:line="360" w:lineRule="auto"/>
        <w:jc w:val="both"/>
        <w:rPr>
          <w:rFonts w:ascii="Arial" w:hAnsi="Arial"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lang w:val="de-DE"/>
        </w:rPr>
      </w:pPr>
      <w:r w:rsidRPr="002F578C">
        <w:rPr>
          <w:rFonts w:ascii="Arial" w:hAnsi="Arial"/>
          <w:lang w:val="de-DE"/>
        </w:rPr>
        <w:lastRenderedPageBreak/>
        <w:t xml:space="preserve">Die DKE-Data GmbH &amp; Co. KG präsentiert eine Datenaustauschplattform, die ein Kernproblem bei der Digitalisierung der Landwirtschaft löst: Das neue Werkzeug ermöglicht Landwirten und Lohnunternehmern den Austausch von Daten zwischen Maschinen- und Agrarsoftware-Anwendungen unterschiedlicher Hersteller. </w:t>
      </w:r>
      <w:proofErr w:type="spellStart"/>
      <w:r w:rsidRPr="002F578C">
        <w:rPr>
          <w:rFonts w:ascii="Arial" w:hAnsi="Arial"/>
          <w:lang w:val="de-DE"/>
        </w:rPr>
        <w:t>Betrieben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mit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gemischtem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Maschinenpark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fehlte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bisher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diese</w:t>
      </w:r>
      <w:proofErr w:type="spellEnd"/>
      <w:r w:rsidRPr="002F578C">
        <w:rPr>
          <w:rFonts w:ascii="Arial" w:hAnsi="Arial"/>
          <w:lang w:val="de-DE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Möglichkeit</w:t>
      </w:r>
      <w:proofErr w:type="spellEnd"/>
      <w:r w:rsidRPr="002F578C">
        <w:rPr>
          <w:rFonts w:ascii="Arial" w:hAnsi="Arial"/>
          <w:lang w:val="de-DE"/>
        </w:rPr>
        <w:t>.</w:t>
      </w:r>
    </w:p>
    <w:p w:rsidR="002F578C" w:rsidRDefault="002F578C" w:rsidP="002F578C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2F578C" w:rsidRPr="002F578C" w:rsidRDefault="002F578C" w:rsidP="002F578C">
      <w:pPr>
        <w:spacing w:line="360" w:lineRule="auto"/>
        <w:jc w:val="both"/>
        <w:rPr>
          <w:rFonts w:ascii="Arial" w:hAnsi="Arial"/>
          <w:b/>
          <w:lang w:val="de-DE"/>
        </w:rPr>
      </w:pPr>
      <w:r w:rsidRPr="002F578C">
        <w:rPr>
          <w:rFonts w:ascii="Arial" w:hAnsi="Arial"/>
          <w:b/>
          <w:lang w:val="de-DE"/>
        </w:rPr>
        <w:t>Zum Pressetext:</w:t>
      </w:r>
    </w:p>
    <w:p w:rsidR="002F578C" w:rsidRDefault="00EE2BAB" w:rsidP="002F578C">
      <w:pPr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19" w:history="1">
        <w:r w:rsidRPr="00B7052A">
          <w:rPr>
            <w:rStyle w:val="Hyperlink"/>
            <w:rFonts w:ascii="Helv" w:eastAsiaTheme="minorHAnsi" w:hAnsi="Helv" w:cs="Helv"/>
            <w:sz w:val="20"/>
            <w:szCs w:val="20"/>
            <w:lang w:val="de-DE"/>
          </w:rPr>
          <w:t>https://www.poettinger.at/landtechnik/download/pressetexte/POETTINGER_DKE_agrirouter_DE.docx</w:t>
        </w:r>
      </w:hyperlink>
    </w:p>
    <w:p w:rsidR="00EE2BAB" w:rsidRDefault="00EE2BAB" w:rsidP="002F578C">
      <w:pPr>
        <w:jc w:val="both"/>
        <w:rPr>
          <w:rFonts w:ascii="Arial" w:hAnsi="Arial" w:cs="Arial"/>
          <w:lang w:val="de-DE"/>
        </w:rPr>
      </w:pPr>
    </w:p>
    <w:p w:rsidR="002F578C" w:rsidRDefault="002F578C" w:rsidP="002F578C">
      <w:pPr>
        <w:jc w:val="both"/>
        <w:rPr>
          <w:rFonts w:ascii="Arial" w:hAnsi="Arial" w:cs="Arial"/>
          <w:lang w:val="de-DE"/>
        </w:rPr>
      </w:pPr>
    </w:p>
    <w:p w:rsidR="002F578C" w:rsidRDefault="002F578C" w:rsidP="002F578C">
      <w:pPr>
        <w:jc w:val="both"/>
        <w:rPr>
          <w:rFonts w:ascii="Arial" w:hAnsi="Arial" w:cs="Arial"/>
          <w:lang w:val="de-DE"/>
        </w:rPr>
      </w:pPr>
    </w:p>
    <w:p w:rsidR="002F578C" w:rsidRDefault="002F578C" w:rsidP="002F578C">
      <w:pPr>
        <w:jc w:val="both"/>
        <w:rPr>
          <w:rFonts w:ascii="Arial" w:hAnsi="Arial" w:cs="Arial"/>
          <w:lang w:val="de-DE"/>
        </w:rPr>
      </w:pPr>
    </w:p>
    <w:p w:rsidR="002F578C" w:rsidRPr="00877A1A" w:rsidRDefault="002F578C" w:rsidP="002F578C">
      <w:pPr>
        <w:jc w:val="both"/>
        <w:rPr>
          <w:rFonts w:ascii="Arial" w:hAnsi="Arial" w:cs="Arial"/>
          <w:lang w:val="de-DE"/>
        </w:rPr>
      </w:pPr>
      <w:r w:rsidRPr="00877A1A">
        <w:rPr>
          <w:rFonts w:ascii="Arial" w:hAnsi="Arial" w:cs="Arial"/>
          <w:lang w:val="de-DE"/>
        </w:rPr>
        <w:t>Weitere druckoptimierte Bilder: http://www.poettinger.at/presse</w:t>
      </w:r>
    </w:p>
    <w:p w:rsidR="002F578C" w:rsidRPr="00BE2EEA" w:rsidRDefault="002F578C" w:rsidP="002F578C">
      <w:pPr>
        <w:rPr>
          <w:rFonts w:ascii="Arial" w:hAnsi="Arial" w:cs="Arial"/>
          <w:b/>
          <w:lang w:val="de-DE"/>
        </w:rPr>
      </w:pPr>
    </w:p>
    <w:p w:rsidR="00440048" w:rsidRPr="00440048" w:rsidRDefault="00440048" w:rsidP="004E7E8C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</w:p>
    <w:sectPr w:rsidR="00440048" w:rsidRPr="00440048" w:rsidSect="0081000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1D" w:rsidRDefault="00010F1D" w:rsidP="00D1684D">
      <w:r>
        <w:separator/>
      </w:r>
    </w:p>
  </w:endnote>
  <w:endnote w:type="continuationSeparator" w:id="0">
    <w:p w:rsidR="00010F1D" w:rsidRDefault="00010F1D" w:rsidP="00D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76100"/>
      <w:docPartObj>
        <w:docPartGallery w:val="Page Numbers (Bottom of Page)"/>
        <w:docPartUnique/>
      </w:docPartObj>
    </w:sdtPr>
    <w:sdtContent>
      <w:p w:rsidR="00010F1D" w:rsidRDefault="00010F1D">
        <w:pPr>
          <w:pStyle w:val="Fuzeile"/>
          <w:jc w:val="right"/>
        </w:pPr>
        <w:fldSimple w:instr=" PAGE   \* MERGEFORMAT ">
          <w:r w:rsidR="00A7744C">
            <w:rPr>
              <w:noProof/>
            </w:rPr>
            <w:t>2</w:t>
          </w:r>
        </w:fldSimple>
      </w:p>
    </w:sdtContent>
  </w:sdt>
  <w:p w:rsidR="00010F1D" w:rsidRPr="004E7E8C" w:rsidRDefault="00010F1D" w:rsidP="00B77BCF">
    <w:pPr>
      <w:rPr>
        <w:rFonts w:ascii="Arial" w:hAnsi="Arial" w:cs="Arial"/>
        <w:b/>
        <w:sz w:val="18"/>
        <w:szCs w:val="18"/>
        <w:lang w:val="de-DE"/>
      </w:rPr>
    </w:pPr>
    <w:r w:rsidRPr="004E7E8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010F1D" w:rsidRPr="004E7E8C" w:rsidRDefault="00010F1D" w:rsidP="00B77BCF">
    <w:pPr>
      <w:rPr>
        <w:rFonts w:ascii="Arial" w:hAnsi="Arial" w:cs="Arial"/>
        <w:sz w:val="18"/>
        <w:szCs w:val="18"/>
        <w:lang w:val="de-DE"/>
      </w:rPr>
    </w:pPr>
    <w:r w:rsidRPr="004E7E8C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Steibl</w:t>
    </w:r>
    <w:proofErr w:type="spellEnd"/>
    <w:r w:rsidRPr="004E7E8C">
      <w:rPr>
        <w:rFonts w:ascii="Arial" w:hAnsi="Arial" w:cs="Arial"/>
        <w:sz w:val="18"/>
        <w:szCs w:val="18"/>
        <w:lang w:val="de-DE"/>
      </w:rPr>
      <w:t xml:space="preserve">, Industriegelände 1, A-4710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Grieskirchen</w:t>
    </w:r>
    <w:proofErr w:type="spellEnd"/>
  </w:p>
  <w:p w:rsidR="00010F1D" w:rsidRPr="00B77BCF" w:rsidRDefault="00010F1D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1D" w:rsidRDefault="00010F1D" w:rsidP="00D1684D">
      <w:r>
        <w:separator/>
      </w:r>
    </w:p>
  </w:footnote>
  <w:footnote w:type="continuationSeparator" w:id="0">
    <w:p w:rsidR="00010F1D" w:rsidRDefault="00010F1D" w:rsidP="00D1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D" w:rsidRDefault="00010F1D" w:rsidP="00F32A36">
    <w:pPr>
      <w:pStyle w:val="Kopfzeile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F1D" w:rsidRDefault="00010F1D" w:rsidP="00B77BCF">
    <w:pPr>
      <w:pStyle w:val="Kopfzeile"/>
    </w:pPr>
  </w:p>
  <w:p w:rsidR="00010F1D" w:rsidRPr="00B77BCF" w:rsidRDefault="00010F1D" w:rsidP="00B77BCF">
    <w:pPr>
      <w:pStyle w:val="Kopfzeile"/>
      <w:rPr>
        <w:rFonts w:ascii="Arial" w:hAnsi="Arial" w:cs="Arial"/>
        <w:b/>
        <w:sz w:val="24"/>
        <w:szCs w:val="24"/>
      </w:rPr>
    </w:pPr>
    <w:r w:rsidRPr="00B77BCF">
      <w:rPr>
        <w:rFonts w:ascii="Arial" w:hAnsi="Arial" w:cs="Arial"/>
        <w:b/>
        <w:sz w:val="24"/>
        <w:szCs w:val="24"/>
      </w:rPr>
      <w:t>Presse-Information</w:t>
    </w:r>
  </w:p>
  <w:p w:rsidR="00010F1D" w:rsidRDefault="00010F1D" w:rsidP="00F32A36">
    <w:pPr>
      <w:pStyle w:val="Kopfzeile"/>
      <w:jc w:val="center"/>
    </w:pPr>
  </w:p>
  <w:p w:rsidR="00010F1D" w:rsidRDefault="00010F1D" w:rsidP="00F32A36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0F1D"/>
    <w:rsid w:val="00012D65"/>
    <w:rsid w:val="0002371F"/>
    <w:rsid w:val="000472BA"/>
    <w:rsid w:val="0004760D"/>
    <w:rsid w:val="00070C43"/>
    <w:rsid w:val="0007646A"/>
    <w:rsid w:val="00083C2A"/>
    <w:rsid w:val="000E111B"/>
    <w:rsid w:val="000F4796"/>
    <w:rsid w:val="0010460D"/>
    <w:rsid w:val="00121636"/>
    <w:rsid w:val="00125389"/>
    <w:rsid w:val="0013419C"/>
    <w:rsid w:val="00140F55"/>
    <w:rsid w:val="0015697C"/>
    <w:rsid w:val="001872A5"/>
    <w:rsid w:val="00190520"/>
    <w:rsid w:val="001F4676"/>
    <w:rsid w:val="00235257"/>
    <w:rsid w:val="00240C07"/>
    <w:rsid w:val="002538EF"/>
    <w:rsid w:val="00263D66"/>
    <w:rsid w:val="002B561A"/>
    <w:rsid w:val="002C11C1"/>
    <w:rsid w:val="002C1B30"/>
    <w:rsid w:val="002E4875"/>
    <w:rsid w:val="002F578C"/>
    <w:rsid w:val="00322E78"/>
    <w:rsid w:val="00351228"/>
    <w:rsid w:val="003721D4"/>
    <w:rsid w:val="003D2AD8"/>
    <w:rsid w:val="00404218"/>
    <w:rsid w:val="004144C6"/>
    <w:rsid w:val="00440048"/>
    <w:rsid w:val="00454769"/>
    <w:rsid w:val="004620A0"/>
    <w:rsid w:val="00494F0D"/>
    <w:rsid w:val="004A25EC"/>
    <w:rsid w:val="004B15FF"/>
    <w:rsid w:val="004B23BD"/>
    <w:rsid w:val="004C1259"/>
    <w:rsid w:val="004C6062"/>
    <w:rsid w:val="004E7E8C"/>
    <w:rsid w:val="004F0143"/>
    <w:rsid w:val="0051710B"/>
    <w:rsid w:val="00530765"/>
    <w:rsid w:val="0053198D"/>
    <w:rsid w:val="00536751"/>
    <w:rsid w:val="00546953"/>
    <w:rsid w:val="00557A23"/>
    <w:rsid w:val="00573405"/>
    <w:rsid w:val="005C3A4D"/>
    <w:rsid w:val="006064EC"/>
    <w:rsid w:val="006300F2"/>
    <w:rsid w:val="0066627B"/>
    <w:rsid w:val="006741EB"/>
    <w:rsid w:val="006768FF"/>
    <w:rsid w:val="006B68CD"/>
    <w:rsid w:val="006C549B"/>
    <w:rsid w:val="00704321"/>
    <w:rsid w:val="007662A4"/>
    <w:rsid w:val="00776F42"/>
    <w:rsid w:val="007A70E5"/>
    <w:rsid w:val="007F340F"/>
    <w:rsid w:val="0081000B"/>
    <w:rsid w:val="00813CC5"/>
    <w:rsid w:val="00832325"/>
    <w:rsid w:val="008503C1"/>
    <w:rsid w:val="00897EDD"/>
    <w:rsid w:val="008C0C95"/>
    <w:rsid w:val="008C634C"/>
    <w:rsid w:val="008E34A5"/>
    <w:rsid w:val="008F2604"/>
    <w:rsid w:val="00934D6E"/>
    <w:rsid w:val="00962CC3"/>
    <w:rsid w:val="009A085A"/>
    <w:rsid w:val="009B6ACC"/>
    <w:rsid w:val="009D56B4"/>
    <w:rsid w:val="009D6DDD"/>
    <w:rsid w:val="00A36E84"/>
    <w:rsid w:val="00A7744C"/>
    <w:rsid w:val="00A94430"/>
    <w:rsid w:val="00AB6B94"/>
    <w:rsid w:val="00AC5519"/>
    <w:rsid w:val="00AD465F"/>
    <w:rsid w:val="00AD7D40"/>
    <w:rsid w:val="00AF2C56"/>
    <w:rsid w:val="00B11C61"/>
    <w:rsid w:val="00B546D0"/>
    <w:rsid w:val="00B57655"/>
    <w:rsid w:val="00B6778C"/>
    <w:rsid w:val="00B74F59"/>
    <w:rsid w:val="00B77BCF"/>
    <w:rsid w:val="00B8589F"/>
    <w:rsid w:val="00B866FA"/>
    <w:rsid w:val="00B95A6F"/>
    <w:rsid w:val="00C079E7"/>
    <w:rsid w:val="00C12BC8"/>
    <w:rsid w:val="00C13BBD"/>
    <w:rsid w:val="00C310B8"/>
    <w:rsid w:val="00C60BB0"/>
    <w:rsid w:val="00C7549F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E65C9"/>
    <w:rsid w:val="00E073CC"/>
    <w:rsid w:val="00E65A26"/>
    <w:rsid w:val="00E74AB8"/>
    <w:rsid w:val="00EA3732"/>
    <w:rsid w:val="00EB2FDB"/>
    <w:rsid w:val="00EB5A6F"/>
    <w:rsid w:val="00EC42A7"/>
    <w:rsid w:val="00EE2BAB"/>
    <w:rsid w:val="00EE5D7B"/>
    <w:rsid w:val="00F00617"/>
    <w:rsid w:val="00F13EE9"/>
    <w:rsid w:val="00F23F9B"/>
    <w:rsid w:val="00F32A36"/>
    <w:rsid w:val="00F41C51"/>
    <w:rsid w:val="00F67DB8"/>
    <w:rsid w:val="00F8593C"/>
    <w:rsid w:val="00F91202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2F5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landtechnik/download/pressetexte/POETTINGER_Sensosafe_DE.docx" TargetMode="External"/><Relationship Id="rId13" Type="http://schemas.openxmlformats.org/officeDocument/2006/relationships/hyperlink" Target="https://www.poettinger.at/img/landtechnik/collection/saemaschinen/Kameragestuetzte_Saatbettbereitung_hq.jpg" TargetMode="External"/><Relationship Id="rId18" Type="http://schemas.openxmlformats.org/officeDocument/2006/relationships/hyperlink" Target="https://www.poettinger.at/de_at/Newsroom/Pressebild/394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landtechnik/download/pressetexte/POETTINGER_Kameragestuetzte-Saatbettbereitung_DE.doc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landtechnik/download/pressetexte/POETTINGER_POETPRO_Guide_D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39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394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landtechnik/download/pressetexte/POETTINGER_DKE_agrirouter_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ttinger.at/img/landtechnik/collection/scheibenmaeher/sensosafe_hq.jp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9583-951B-4545-8960-12A0E5D5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2017-08-28T13:58:00Z</cp:lastPrinted>
  <dcterms:created xsi:type="dcterms:W3CDTF">2017-09-22T08:39:00Z</dcterms:created>
  <dcterms:modified xsi:type="dcterms:W3CDTF">2017-09-22T08:39:00Z</dcterms:modified>
</cp:coreProperties>
</file>