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06C27" w14:textId="77777777" w:rsidR="00F67D2B" w:rsidRPr="00C71591" w:rsidRDefault="00F67D2B" w:rsidP="00F67D2B">
      <w:pPr>
        <w:shd w:val="clear" w:color="auto" w:fill="FFFFFF"/>
        <w:spacing w:after="225"/>
        <w:outlineLvl w:val="0"/>
        <w:rPr>
          <w:rFonts w:cs="Arial"/>
          <w:color w:val="404040"/>
          <w:spacing w:val="6"/>
          <w:kern w:val="36"/>
          <w:sz w:val="40"/>
          <w:szCs w:val="40"/>
          <w:lang w:val="pl-PL" w:eastAsia="de-DE"/>
        </w:rPr>
      </w:pPr>
      <w:bookmarkStart w:id="0" w:name="_GoBack"/>
      <w:bookmarkEnd w:id="0"/>
      <w:r w:rsidRPr="00C71591">
        <w:rPr>
          <w:rFonts w:cs="Arial"/>
          <w:color w:val="404040"/>
          <w:spacing w:val="6"/>
          <w:kern w:val="36"/>
          <w:sz w:val="40"/>
          <w:szCs w:val="40"/>
          <w:lang w:val="pl-PL" w:eastAsia="de-DE"/>
        </w:rPr>
        <w:t>Start: PÖTTINGER buduje czwartą fabrykę</w:t>
      </w:r>
    </w:p>
    <w:p w14:paraId="27CA1393" w14:textId="0575B34D" w:rsidR="00590656" w:rsidRPr="00F67D2B" w:rsidRDefault="00F67D2B" w:rsidP="00F67D2B">
      <w:pPr>
        <w:shd w:val="clear" w:color="auto" w:fill="FFFFFF"/>
        <w:spacing w:before="180" w:after="120"/>
        <w:outlineLvl w:val="2"/>
        <w:rPr>
          <w:rFonts w:cs="Arial"/>
          <w:color w:val="404040"/>
          <w:spacing w:val="6"/>
          <w:sz w:val="32"/>
          <w:szCs w:val="32"/>
          <w:lang w:val="pl-PL" w:eastAsia="de-DE"/>
        </w:rPr>
      </w:pPr>
      <w:r w:rsidRPr="00F67D2B">
        <w:rPr>
          <w:rFonts w:cs="Arial"/>
          <w:spacing w:val="6"/>
          <w:sz w:val="32"/>
          <w:szCs w:val="32"/>
          <w:lang w:val="pl-PL" w:eastAsia="de-DE"/>
        </w:rPr>
        <w:t xml:space="preserve">Nowa linia montażowa dla </w:t>
      </w:r>
      <w:r w:rsidR="00590656" w:rsidRPr="00F67D2B">
        <w:rPr>
          <w:rFonts w:cs="Arial"/>
          <w:iCs/>
          <w:sz w:val="32"/>
          <w:szCs w:val="32"/>
          <w:lang w:val="pl-PL"/>
        </w:rPr>
        <w:t xml:space="preserve">IMPRESS </w:t>
      </w:r>
      <w:r w:rsidR="00C71591">
        <w:rPr>
          <w:rFonts w:cs="Arial"/>
          <w:iCs/>
          <w:sz w:val="32"/>
          <w:szCs w:val="32"/>
          <w:lang w:val="pl-PL"/>
        </w:rPr>
        <w:t>i</w:t>
      </w:r>
      <w:r w:rsidR="00AA7F34" w:rsidRPr="00F67D2B">
        <w:rPr>
          <w:rFonts w:cs="Arial"/>
          <w:iCs/>
          <w:sz w:val="32"/>
          <w:szCs w:val="32"/>
          <w:lang w:val="pl-PL"/>
        </w:rPr>
        <w:t xml:space="preserve"> TOP</w:t>
      </w:r>
    </w:p>
    <w:p w14:paraId="10EA68D1" w14:textId="77777777" w:rsidR="00F67D2B" w:rsidRPr="00F67D2B" w:rsidRDefault="00F67D2B" w:rsidP="00F67D2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  <w:r w:rsidRPr="00F67D2B">
        <w:rPr>
          <w:rFonts w:ascii="Arial" w:hAnsi="Arial" w:cs="Arial"/>
          <w:spacing w:val="6"/>
          <w:lang w:val="pl-PL"/>
        </w:rPr>
        <w:t xml:space="preserve">W dniu 30. kwietnia 2020 wbito symboliczną łopatę pod budowę nowej fabryki w St. </w:t>
      </w:r>
      <w:proofErr w:type="spellStart"/>
      <w:r w:rsidRPr="00F67D2B">
        <w:rPr>
          <w:rFonts w:ascii="Arial" w:hAnsi="Arial" w:cs="Arial"/>
          <w:spacing w:val="6"/>
          <w:lang w:val="pl-PL"/>
        </w:rPr>
        <w:t>Georgen</w:t>
      </w:r>
      <w:proofErr w:type="spellEnd"/>
      <w:r w:rsidRPr="00F67D2B">
        <w:rPr>
          <w:rFonts w:ascii="Arial" w:hAnsi="Arial" w:cs="Arial"/>
          <w:spacing w:val="6"/>
          <w:lang w:val="pl-PL"/>
        </w:rPr>
        <w:t>, oddalonego 5 km od centrali koncernu w </w:t>
      </w:r>
      <w:proofErr w:type="spellStart"/>
      <w:r w:rsidRPr="00F67D2B">
        <w:rPr>
          <w:rFonts w:ascii="Arial" w:hAnsi="Arial" w:cs="Arial"/>
          <w:spacing w:val="6"/>
          <w:lang w:val="pl-PL"/>
        </w:rPr>
        <w:t>Grieskirchen</w:t>
      </w:r>
      <w:proofErr w:type="spellEnd"/>
      <w:r w:rsidRPr="00F67D2B">
        <w:rPr>
          <w:rFonts w:ascii="Arial" w:hAnsi="Arial" w:cs="Arial"/>
          <w:spacing w:val="6"/>
          <w:lang w:val="pl-PL"/>
        </w:rPr>
        <w:t xml:space="preserve"> (AT). W obecności obydwu właścicieli, Heinza i Klausa </w:t>
      </w:r>
      <w:proofErr w:type="spellStart"/>
      <w:r w:rsidRPr="00F67D2B">
        <w:rPr>
          <w:rFonts w:ascii="Arial" w:hAnsi="Arial" w:cs="Arial"/>
          <w:spacing w:val="6"/>
          <w:lang w:val="pl-PL"/>
        </w:rPr>
        <w:t>Pöttinger</w:t>
      </w:r>
      <w:proofErr w:type="spellEnd"/>
      <w:r w:rsidRPr="00F67D2B">
        <w:rPr>
          <w:rFonts w:ascii="Arial" w:hAnsi="Arial" w:cs="Arial"/>
          <w:spacing w:val="6"/>
          <w:lang w:val="pl-PL"/>
        </w:rPr>
        <w:t>, zarząd firmy zainaugurował początek prac budowlanych.  </w:t>
      </w:r>
    </w:p>
    <w:p w14:paraId="0BC3C5D6" w14:textId="77777777" w:rsidR="00F67D2B" w:rsidRPr="00F67D2B" w:rsidRDefault="00F67D2B" w:rsidP="00F67D2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  <w:r w:rsidRPr="00F67D2B">
        <w:rPr>
          <w:rFonts w:ascii="Arial" w:hAnsi="Arial" w:cs="Arial"/>
          <w:spacing w:val="6"/>
          <w:lang w:val="pl-PL"/>
        </w:rPr>
        <w:t>Mimo panującej obecnie trudnej sytuacji, PÖTTINGER trzyma się ambitnie swoich planów rozbudowy: po fazie budowy, który powinien trwać trochę ponad rok, nastąpi otwarcie nowego obiektu. W pierwszym etapie, na który przeznaczono sumę 25 mln euro, powstanie hala montażowa o powierzchni 6.300 </w:t>
      </w:r>
      <w:r w:rsidRPr="00F67D2B">
        <w:rPr>
          <w:rFonts w:ascii="Arial" w:hAnsi="Arial" w:cs="Arial"/>
          <w:spacing w:val="6"/>
          <w:shd w:val="clear" w:color="auto" w:fill="FFFFFF"/>
          <w:lang w:val="pl-PL"/>
        </w:rPr>
        <w:t> m2.</w:t>
      </w:r>
      <w:r w:rsidRPr="00F67D2B">
        <w:rPr>
          <w:rFonts w:ascii="Arial" w:hAnsi="Arial" w:cs="Arial"/>
          <w:spacing w:val="6"/>
          <w:lang w:val="pl-PL"/>
        </w:rPr>
        <w:t>. Najpóźniej wczesnym latem 2021 zostanie rozpoczęty tu montaż prasy rolującej IMPRESS i 4-karuzelowej zgrabiarki TOP.</w:t>
      </w:r>
    </w:p>
    <w:p w14:paraId="1C9E7FD6" w14:textId="77777777" w:rsidR="004F3A6C" w:rsidRPr="00C71591" w:rsidRDefault="004F3A6C" w:rsidP="005F3E2D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</w:p>
    <w:p w14:paraId="1F3B6560" w14:textId="75487AFC" w:rsidR="00590656" w:rsidRPr="00F67D2B" w:rsidRDefault="00F67D2B" w:rsidP="005F3E2D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pl-PL"/>
        </w:rPr>
      </w:pPr>
      <w:r>
        <w:rPr>
          <w:rFonts w:cs="Arial"/>
          <w:b/>
          <w:bCs/>
          <w:iCs/>
          <w:sz w:val="24"/>
          <w:szCs w:val="22"/>
          <w:lang w:val="pl-PL"/>
        </w:rPr>
        <w:t>Z nami osiągniesz sukces</w:t>
      </w:r>
    </w:p>
    <w:p w14:paraId="520F8EA3" w14:textId="4A454206" w:rsidR="00F67D2B" w:rsidRPr="00F67D2B" w:rsidRDefault="00F67D2B" w:rsidP="00F67D2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  <w:r w:rsidRPr="00F67D2B">
        <w:rPr>
          <w:rFonts w:ascii="Arial" w:hAnsi="Arial" w:cs="Arial"/>
          <w:spacing w:val="6"/>
          <w:lang w:val="pl-PL"/>
        </w:rPr>
        <w:t>Z blisko 150-letniej historii producenta maszyn rolniczych z </w:t>
      </w:r>
      <w:proofErr w:type="spellStart"/>
      <w:r w:rsidRPr="00F67D2B">
        <w:rPr>
          <w:rFonts w:ascii="Arial" w:hAnsi="Arial" w:cs="Arial"/>
          <w:spacing w:val="6"/>
          <w:lang w:val="pl-PL"/>
        </w:rPr>
        <w:t>Grieskirchen</w:t>
      </w:r>
      <w:proofErr w:type="spellEnd"/>
      <w:r w:rsidRPr="00F67D2B">
        <w:rPr>
          <w:rFonts w:ascii="Arial" w:hAnsi="Arial" w:cs="Arial"/>
          <w:spacing w:val="6"/>
          <w:lang w:val="pl-PL"/>
        </w:rPr>
        <w:t xml:space="preserve"> można określić czynniki sukcesu: to perf</w:t>
      </w:r>
      <w:r w:rsidR="00C71591">
        <w:rPr>
          <w:rFonts w:ascii="Arial" w:hAnsi="Arial" w:cs="Arial"/>
          <w:spacing w:val="6"/>
          <w:lang w:val="pl-PL"/>
        </w:rPr>
        <w:t>e</w:t>
      </w:r>
      <w:r w:rsidRPr="00F67D2B">
        <w:rPr>
          <w:rFonts w:ascii="Arial" w:hAnsi="Arial" w:cs="Arial"/>
          <w:spacing w:val="6"/>
          <w:lang w:val="pl-PL"/>
        </w:rPr>
        <w:t>kcyjne współdziałanie prawie 2.000 zaangażowanych pracowników na całym świecie, innowacyjne portfolio produktów oraz wizjonerski duch firmy.</w:t>
      </w:r>
    </w:p>
    <w:p w14:paraId="39DFED17" w14:textId="28FD8B1F" w:rsidR="00F67D2B" w:rsidRPr="00F67D2B" w:rsidRDefault="00F67D2B" w:rsidP="00F67D2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  <w:r w:rsidRPr="00F67D2B">
        <w:rPr>
          <w:rFonts w:ascii="Arial" w:hAnsi="Arial" w:cs="Arial"/>
          <w:spacing w:val="6"/>
          <w:lang w:val="pl-PL"/>
        </w:rPr>
        <w:t xml:space="preserve">Teraz otwierany jest nowy rozdział: obok głównej fabryki w </w:t>
      </w:r>
      <w:proofErr w:type="spellStart"/>
      <w:r w:rsidRPr="00F67D2B">
        <w:rPr>
          <w:rFonts w:ascii="Arial" w:hAnsi="Arial" w:cs="Arial"/>
          <w:spacing w:val="6"/>
          <w:lang w:val="pl-PL"/>
        </w:rPr>
        <w:t>Grieskirchen</w:t>
      </w:r>
      <w:proofErr w:type="spellEnd"/>
      <w:r w:rsidRPr="00F67D2B">
        <w:rPr>
          <w:rFonts w:ascii="Arial" w:hAnsi="Arial" w:cs="Arial"/>
          <w:spacing w:val="6"/>
          <w:lang w:val="pl-PL"/>
        </w:rPr>
        <w:t xml:space="preserve"> (AT) ukierunkowanej na produkcję maszyn do zbioru zielonek, fabryki siewników w </w:t>
      </w:r>
      <w:proofErr w:type="spellStart"/>
      <w:r w:rsidRPr="00F67D2B">
        <w:rPr>
          <w:rFonts w:ascii="Arial" w:hAnsi="Arial" w:cs="Arial"/>
          <w:spacing w:val="6"/>
          <w:lang w:val="pl-PL"/>
        </w:rPr>
        <w:t>Bernburgu</w:t>
      </w:r>
      <w:proofErr w:type="spellEnd"/>
      <w:r w:rsidRPr="00F67D2B">
        <w:rPr>
          <w:rFonts w:ascii="Arial" w:hAnsi="Arial" w:cs="Arial"/>
          <w:spacing w:val="6"/>
          <w:lang w:val="pl-PL"/>
        </w:rPr>
        <w:t xml:space="preserve"> (DE) i fabryki produkującej maszyny do uprawy gleby w </w:t>
      </w:r>
      <w:proofErr w:type="spellStart"/>
      <w:r w:rsidRPr="00F67D2B">
        <w:rPr>
          <w:rFonts w:ascii="Arial" w:hAnsi="Arial" w:cs="Arial"/>
          <w:spacing w:val="6"/>
          <w:lang w:val="pl-PL"/>
        </w:rPr>
        <w:t>Vodnanach</w:t>
      </w:r>
      <w:proofErr w:type="spellEnd"/>
      <w:r w:rsidRPr="00F67D2B">
        <w:rPr>
          <w:rFonts w:ascii="Arial" w:hAnsi="Arial" w:cs="Arial"/>
          <w:spacing w:val="6"/>
          <w:lang w:val="pl-PL"/>
        </w:rPr>
        <w:t> (CZ), PÖTTINGER inwestuje w kolejne miejsce produkcji w Austrii, aby rozszerzyć swoje kompe</w:t>
      </w:r>
      <w:r w:rsidR="00C71591">
        <w:rPr>
          <w:rFonts w:ascii="Arial" w:hAnsi="Arial" w:cs="Arial"/>
          <w:spacing w:val="6"/>
          <w:lang w:val="pl-PL"/>
        </w:rPr>
        <w:t>t</w:t>
      </w:r>
      <w:r w:rsidRPr="00F67D2B">
        <w:rPr>
          <w:rFonts w:ascii="Arial" w:hAnsi="Arial" w:cs="Arial"/>
          <w:spacing w:val="6"/>
          <w:lang w:val="pl-PL"/>
        </w:rPr>
        <w:t>encje w technice do zbioru zielonek.</w:t>
      </w:r>
    </w:p>
    <w:p w14:paraId="55DBF9EB" w14:textId="6A742080" w:rsidR="00904BC1" w:rsidRPr="00F67D2B" w:rsidRDefault="00F67D2B" w:rsidP="00F67D2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  <w:r w:rsidRPr="00F67D2B">
        <w:rPr>
          <w:rFonts w:ascii="Arial" w:hAnsi="Arial" w:cs="Arial"/>
          <w:spacing w:val="6"/>
          <w:lang w:val="pl-PL"/>
        </w:rPr>
        <w:t>W obliczu wzrastaj</w:t>
      </w:r>
      <w:r w:rsidR="00C71591">
        <w:rPr>
          <w:rFonts w:ascii="Arial" w:hAnsi="Arial" w:cs="Arial"/>
          <w:spacing w:val="6"/>
          <w:lang w:val="pl-PL"/>
        </w:rPr>
        <w:t>ą</w:t>
      </w:r>
      <w:r w:rsidRPr="00F67D2B">
        <w:rPr>
          <w:rFonts w:ascii="Arial" w:hAnsi="Arial" w:cs="Arial"/>
          <w:spacing w:val="6"/>
          <w:lang w:val="pl-PL"/>
        </w:rPr>
        <w:t>cej sprzedaży w związku z ro</w:t>
      </w:r>
      <w:r w:rsidR="00C71591">
        <w:rPr>
          <w:rFonts w:ascii="Arial" w:hAnsi="Arial" w:cs="Arial"/>
          <w:spacing w:val="6"/>
          <w:lang w:val="pl-PL"/>
        </w:rPr>
        <w:t>z</w:t>
      </w:r>
      <w:r w:rsidRPr="00F67D2B">
        <w:rPr>
          <w:rFonts w:ascii="Arial" w:hAnsi="Arial" w:cs="Arial"/>
          <w:spacing w:val="6"/>
          <w:lang w:val="pl-PL"/>
        </w:rPr>
        <w:t>szerzaniem rynków zbytu na świecie, rozbudowa stała się konieczna. Z jednej strony wzrastająca ilość sprzedanych maszyn doprowadziła do powstawania wąskich gardeł na liniach produkcyjnych, z drugiej zaś strony wzrastające zapotrzebowanie na coraz większe maszyny zaostrzyły sytuację. Dalsza rozbudowa centralnej fabryki ze w</w:t>
      </w:r>
      <w:r w:rsidR="00C71591">
        <w:rPr>
          <w:rFonts w:ascii="Arial" w:hAnsi="Arial" w:cs="Arial"/>
          <w:spacing w:val="6"/>
          <w:lang w:val="pl-PL"/>
        </w:rPr>
        <w:t>z</w:t>
      </w:r>
      <w:r w:rsidRPr="00F67D2B">
        <w:rPr>
          <w:rFonts w:ascii="Arial" w:hAnsi="Arial" w:cs="Arial"/>
          <w:spacing w:val="6"/>
          <w:lang w:val="pl-PL"/>
        </w:rPr>
        <w:t>ględu na ograniczenia powierzchni nie jest możliwa. Wynajmowana obecnie hala montażowa przed wjazde</w:t>
      </w:r>
      <w:r w:rsidR="00C71591">
        <w:rPr>
          <w:rFonts w:ascii="Arial" w:hAnsi="Arial" w:cs="Arial"/>
          <w:spacing w:val="6"/>
          <w:lang w:val="pl-PL"/>
        </w:rPr>
        <w:t>m</w:t>
      </w:r>
      <w:r w:rsidRPr="00F67D2B">
        <w:rPr>
          <w:rFonts w:ascii="Arial" w:hAnsi="Arial" w:cs="Arial"/>
          <w:spacing w:val="6"/>
          <w:lang w:val="pl-PL"/>
        </w:rPr>
        <w:t xml:space="preserve"> do </w:t>
      </w:r>
      <w:proofErr w:type="spellStart"/>
      <w:r w:rsidRPr="00F67D2B">
        <w:rPr>
          <w:rFonts w:ascii="Arial" w:hAnsi="Arial" w:cs="Arial"/>
          <w:spacing w:val="6"/>
          <w:lang w:val="pl-PL"/>
        </w:rPr>
        <w:t>Grieskirchen</w:t>
      </w:r>
      <w:proofErr w:type="spellEnd"/>
      <w:r w:rsidRPr="00F67D2B">
        <w:rPr>
          <w:rFonts w:ascii="Arial" w:hAnsi="Arial" w:cs="Arial"/>
          <w:spacing w:val="6"/>
          <w:lang w:val="pl-PL"/>
        </w:rPr>
        <w:t xml:space="preserve"> będzie od następnego roku </w:t>
      </w:r>
      <w:r w:rsidRPr="00F67D2B">
        <w:rPr>
          <w:rFonts w:ascii="Arial" w:hAnsi="Arial" w:cs="Arial"/>
          <w:spacing w:val="6"/>
          <w:lang w:val="pl-PL"/>
        </w:rPr>
        <w:lastRenderedPageBreak/>
        <w:t xml:space="preserve">wykorzystana na inne cele. Powierzchnia w St. </w:t>
      </w:r>
      <w:proofErr w:type="spellStart"/>
      <w:r w:rsidRPr="00F67D2B">
        <w:rPr>
          <w:rFonts w:ascii="Arial" w:hAnsi="Arial" w:cs="Arial"/>
          <w:spacing w:val="6"/>
          <w:lang w:val="pl-PL"/>
        </w:rPr>
        <w:t>Georgen</w:t>
      </w:r>
      <w:proofErr w:type="spellEnd"/>
      <w:r w:rsidRPr="00F67D2B">
        <w:rPr>
          <w:rFonts w:ascii="Arial" w:hAnsi="Arial" w:cs="Arial"/>
          <w:spacing w:val="6"/>
          <w:lang w:val="pl-PL"/>
        </w:rPr>
        <w:t xml:space="preserve"> daje idealne możliwości do dalszego rozwoju.</w:t>
      </w:r>
      <w:r w:rsidR="00904BC1" w:rsidRPr="00F67D2B">
        <w:rPr>
          <w:rFonts w:cs="Arial"/>
          <w:iCs/>
          <w:szCs w:val="22"/>
          <w:lang w:val="pl-PL"/>
        </w:rPr>
        <w:t xml:space="preserve"> </w:t>
      </w:r>
    </w:p>
    <w:p w14:paraId="3845D8A4" w14:textId="77777777" w:rsidR="00904BC1" w:rsidRPr="00F67D2B" w:rsidRDefault="00904BC1" w:rsidP="00637793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pl-PL"/>
        </w:rPr>
      </w:pPr>
    </w:p>
    <w:p w14:paraId="17F8C493" w14:textId="794BFF34" w:rsidR="00637793" w:rsidRPr="00F67D2B" w:rsidRDefault="00F67D2B" w:rsidP="00637793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pl-PL"/>
        </w:rPr>
      </w:pPr>
      <w:r w:rsidRPr="00F67D2B">
        <w:rPr>
          <w:rStyle w:val="Pogrubienie"/>
          <w:rFonts w:eastAsiaTheme="majorEastAsia" w:cs="Arial"/>
          <w:color w:val="404040"/>
          <w:spacing w:val="6"/>
          <w:sz w:val="24"/>
          <w:shd w:val="clear" w:color="auto" w:fill="FFFFFF"/>
          <w:lang w:val="pl-PL"/>
        </w:rPr>
        <w:t>Trzy powody do zadowolenia</w:t>
      </w:r>
      <w:r w:rsidR="00637793" w:rsidRPr="00F67D2B">
        <w:rPr>
          <w:rFonts w:cs="Arial"/>
          <w:b/>
          <w:bCs/>
          <w:iCs/>
          <w:sz w:val="24"/>
          <w:lang w:val="pl-PL"/>
        </w:rPr>
        <w:t xml:space="preserve"> </w:t>
      </w:r>
    </w:p>
    <w:p w14:paraId="2C980803" w14:textId="040FC33E" w:rsidR="00F67D2B" w:rsidRPr="00F67D2B" w:rsidRDefault="00F67D2B" w:rsidP="005F3E2D">
      <w:pPr>
        <w:spacing w:line="360" w:lineRule="auto"/>
        <w:jc w:val="both"/>
        <w:rPr>
          <w:rFonts w:cs="Arial"/>
          <w:spacing w:val="6"/>
          <w:sz w:val="24"/>
          <w:shd w:val="clear" w:color="auto" w:fill="FFFFFF"/>
          <w:lang w:val="pl-PL"/>
        </w:rPr>
      </w:pPr>
      <w:r w:rsidRPr="00F67D2B">
        <w:rPr>
          <w:rFonts w:cs="Arial"/>
          <w:spacing w:val="6"/>
          <w:sz w:val="24"/>
          <w:shd w:val="clear" w:color="auto" w:fill="FFFFFF"/>
          <w:lang w:val="pl-PL"/>
        </w:rPr>
        <w:t xml:space="preserve">Radość z inwestycji w firmie mimo aktualnej sytuacji jest niezakłócona: z chwilą położenia kamienia węgielnego pod nową budowę PÖTTINGER rozpoczyna, po rozbudowie fabryki w </w:t>
      </w:r>
      <w:proofErr w:type="spellStart"/>
      <w:r w:rsidRPr="00F67D2B">
        <w:rPr>
          <w:rFonts w:cs="Arial"/>
          <w:spacing w:val="6"/>
          <w:sz w:val="24"/>
          <w:shd w:val="clear" w:color="auto" w:fill="FFFFFF"/>
          <w:lang w:val="pl-PL"/>
        </w:rPr>
        <w:t>Grieskirchen</w:t>
      </w:r>
      <w:proofErr w:type="spellEnd"/>
      <w:r w:rsidRPr="00F67D2B">
        <w:rPr>
          <w:rFonts w:cs="Arial"/>
          <w:spacing w:val="6"/>
          <w:sz w:val="24"/>
          <w:shd w:val="clear" w:color="auto" w:fill="FFFFFF"/>
          <w:lang w:val="pl-PL"/>
        </w:rPr>
        <w:t xml:space="preserve"> i postawieniu nowego centrum logistycznego części zamiennych w </w:t>
      </w:r>
      <w:proofErr w:type="spellStart"/>
      <w:r w:rsidRPr="00F67D2B">
        <w:rPr>
          <w:rFonts w:cs="Arial"/>
          <w:spacing w:val="6"/>
          <w:sz w:val="24"/>
          <w:shd w:val="clear" w:color="auto" w:fill="FFFFFF"/>
          <w:lang w:val="pl-PL"/>
        </w:rPr>
        <w:t>Taufkirchen</w:t>
      </w:r>
      <w:proofErr w:type="spellEnd"/>
      <w:r w:rsidRPr="00F67D2B">
        <w:rPr>
          <w:rFonts w:cs="Arial"/>
          <w:spacing w:val="6"/>
          <w:sz w:val="24"/>
          <w:shd w:val="clear" w:color="auto" w:fill="FFFFFF"/>
          <w:lang w:val="pl-PL"/>
        </w:rPr>
        <w:t>/</w:t>
      </w:r>
      <w:proofErr w:type="spellStart"/>
      <w:r w:rsidRPr="00F67D2B">
        <w:rPr>
          <w:rFonts w:cs="Arial"/>
          <w:spacing w:val="6"/>
          <w:sz w:val="24"/>
          <w:shd w:val="clear" w:color="auto" w:fill="FFFFFF"/>
          <w:lang w:val="pl-PL"/>
        </w:rPr>
        <w:t>Tr</w:t>
      </w:r>
      <w:proofErr w:type="spellEnd"/>
      <w:r w:rsidRPr="00F67D2B">
        <w:rPr>
          <w:rFonts w:cs="Arial"/>
          <w:spacing w:val="6"/>
          <w:sz w:val="24"/>
          <w:shd w:val="clear" w:color="auto" w:fill="FFFFFF"/>
          <w:lang w:val="pl-PL"/>
        </w:rPr>
        <w:t>., trzeci projekt budowlany w ojczystej Austrii. W obszarze przemysłowym powstanie nowoczesny budynek, który harmonijnie wpisze się w krajobraz. Zielony dach, duże tereny zieleni i zastosowanie drewna jako materiału budowlanego, uczynią tę inwestycję również przyjazną środowisku naturalnemu.</w:t>
      </w:r>
    </w:p>
    <w:p w14:paraId="1E7B1296" w14:textId="77777777" w:rsidR="00637793" w:rsidRPr="00C71591" w:rsidRDefault="00637793" w:rsidP="005F3E2D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pl-PL"/>
        </w:rPr>
      </w:pPr>
    </w:p>
    <w:p w14:paraId="7D6BA9F9" w14:textId="2637B5D1" w:rsidR="00542926" w:rsidRPr="00C71591" w:rsidRDefault="00F67D2B" w:rsidP="005F3E2D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  <w:r w:rsidRPr="00C71591">
        <w:rPr>
          <w:rStyle w:val="Pogrubienie"/>
          <w:rFonts w:eastAsiaTheme="majorEastAsia" w:cs="Arial"/>
          <w:spacing w:val="6"/>
          <w:sz w:val="24"/>
          <w:shd w:val="clear" w:color="auto" w:fill="FFFFFF"/>
          <w:lang w:val="pl-PL"/>
        </w:rPr>
        <w:t>Inwestycja w przyszłość</w:t>
      </w:r>
    </w:p>
    <w:p w14:paraId="57A02CE2" w14:textId="08CF08E8" w:rsidR="00F446AB" w:rsidRPr="00C71591" w:rsidRDefault="00F446AB" w:rsidP="005F3E2D">
      <w:pPr>
        <w:spacing w:line="360" w:lineRule="auto"/>
        <w:jc w:val="both"/>
        <w:rPr>
          <w:rFonts w:cs="Arial"/>
          <w:spacing w:val="6"/>
          <w:sz w:val="24"/>
          <w:shd w:val="clear" w:color="auto" w:fill="FFFFFF"/>
          <w:lang w:val="pl-PL"/>
        </w:rPr>
      </w:pPr>
      <w:r w:rsidRPr="00F446AB">
        <w:rPr>
          <w:rFonts w:cs="Arial"/>
          <w:spacing w:val="6"/>
          <w:sz w:val="24"/>
          <w:shd w:val="clear" w:color="auto" w:fill="FFFFFF"/>
          <w:lang w:val="pl-PL"/>
        </w:rPr>
        <w:t>Zarząd firmy w centrum swoich aktywności stawia zdrowy wzrost gospodarczy, poszerzenie kompetencji jako specjalisty w zakresie maszyn do zbioru zielonek i atrakcyjne miejsca pracy. „Rynek definiuje tempo budowy“, wyjaśnia </w:t>
      </w:r>
      <w:proofErr w:type="spellStart"/>
      <w:r w:rsidRPr="00F446AB">
        <w:rPr>
          <w:rFonts w:cs="Arial"/>
          <w:spacing w:val="6"/>
          <w:sz w:val="24"/>
          <w:shd w:val="clear" w:color="auto" w:fill="FFFFFF"/>
          <w:lang w:val="pl-PL"/>
        </w:rPr>
        <w:t>Jörg</w:t>
      </w:r>
      <w:proofErr w:type="spellEnd"/>
      <w:r w:rsidRPr="00F446AB">
        <w:rPr>
          <w:rFonts w:cs="Arial"/>
          <w:spacing w:val="6"/>
          <w:sz w:val="24"/>
          <w:shd w:val="clear" w:color="auto" w:fill="FFFFFF"/>
          <w:lang w:val="pl-PL"/>
        </w:rPr>
        <w:t xml:space="preserve"> </w:t>
      </w:r>
      <w:proofErr w:type="spellStart"/>
      <w:r w:rsidRPr="00F446AB">
        <w:rPr>
          <w:rFonts w:cs="Arial"/>
          <w:spacing w:val="6"/>
          <w:sz w:val="24"/>
          <w:shd w:val="clear" w:color="auto" w:fill="FFFFFF"/>
          <w:lang w:val="pl-PL"/>
        </w:rPr>
        <w:t>Lechner</w:t>
      </w:r>
      <w:proofErr w:type="spellEnd"/>
      <w:r w:rsidRPr="00F446AB">
        <w:rPr>
          <w:rFonts w:cs="Arial"/>
          <w:spacing w:val="6"/>
          <w:sz w:val="24"/>
          <w:shd w:val="clear" w:color="auto" w:fill="FFFFFF"/>
          <w:lang w:val="pl-PL"/>
        </w:rPr>
        <w:t>, odpowiedzialny za budowę członek zarządu i konkretyzuje: „Działać z wyprzedzeniem, to przesłanka, na której oparliśmy naszą de</w:t>
      </w:r>
      <w:r w:rsidR="00C71591">
        <w:rPr>
          <w:rFonts w:cs="Arial"/>
          <w:spacing w:val="6"/>
          <w:sz w:val="24"/>
          <w:shd w:val="clear" w:color="auto" w:fill="FFFFFF"/>
          <w:lang w:val="pl-PL"/>
        </w:rPr>
        <w:t>c</w:t>
      </w:r>
      <w:r w:rsidRPr="00F446AB">
        <w:rPr>
          <w:rFonts w:cs="Arial"/>
          <w:spacing w:val="6"/>
          <w:sz w:val="24"/>
          <w:shd w:val="clear" w:color="auto" w:fill="FFFFFF"/>
          <w:lang w:val="pl-PL"/>
        </w:rPr>
        <w:t>y</w:t>
      </w:r>
      <w:r w:rsidR="00C71591">
        <w:rPr>
          <w:rFonts w:cs="Arial"/>
          <w:spacing w:val="6"/>
          <w:sz w:val="24"/>
          <w:shd w:val="clear" w:color="auto" w:fill="FFFFFF"/>
          <w:lang w:val="pl-PL"/>
        </w:rPr>
        <w:t>z</w:t>
      </w:r>
      <w:r w:rsidRPr="00F446AB">
        <w:rPr>
          <w:rFonts w:cs="Arial"/>
          <w:spacing w:val="6"/>
          <w:sz w:val="24"/>
          <w:shd w:val="clear" w:color="auto" w:fill="FFFFFF"/>
          <w:lang w:val="pl-PL"/>
        </w:rPr>
        <w:t>ję o tej inwestycji.“ Na 17 h</w:t>
      </w:r>
      <w:r w:rsidR="00C71591">
        <w:rPr>
          <w:rFonts w:cs="Arial"/>
          <w:spacing w:val="6"/>
          <w:sz w:val="24"/>
          <w:shd w:val="clear" w:color="auto" w:fill="FFFFFF"/>
          <w:lang w:val="pl-PL"/>
        </w:rPr>
        <w:t>e</w:t>
      </w:r>
      <w:r w:rsidRPr="00F446AB">
        <w:rPr>
          <w:rFonts w:cs="Arial"/>
          <w:spacing w:val="6"/>
          <w:sz w:val="24"/>
          <w:shd w:val="clear" w:color="auto" w:fill="FFFFFF"/>
          <w:lang w:val="pl-PL"/>
        </w:rPr>
        <w:t>ktarowej działce najpierw powstanie hala montażowa o powierzchni 6.300 m</w:t>
      </w:r>
      <w:r w:rsidRPr="00F446AB">
        <w:rPr>
          <w:rFonts w:cs="Arial"/>
          <w:spacing w:val="6"/>
          <w:sz w:val="24"/>
          <w:shd w:val="clear" w:color="auto" w:fill="FFFFFF"/>
          <w:vertAlign w:val="superscript"/>
          <w:lang w:val="pl-PL"/>
        </w:rPr>
        <w:t>2</w:t>
      </w:r>
      <w:r w:rsidRPr="00F446AB">
        <w:rPr>
          <w:rFonts w:cs="Arial"/>
          <w:spacing w:val="6"/>
          <w:sz w:val="24"/>
          <w:shd w:val="clear" w:color="auto" w:fill="FFFFFF"/>
          <w:lang w:val="pl-PL"/>
        </w:rPr>
        <w:t xml:space="preserve">. </w:t>
      </w:r>
      <w:r w:rsidRPr="00C71591">
        <w:rPr>
          <w:rFonts w:cs="Arial"/>
          <w:spacing w:val="6"/>
          <w:sz w:val="24"/>
          <w:shd w:val="clear" w:color="auto" w:fill="FFFFFF"/>
          <w:lang w:val="pl-PL"/>
        </w:rPr>
        <w:t>Plany elastycznej rozbudowy są już gotowe.</w:t>
      </w:r>
    </w:p>
    <w:p w14:paraId="71E088AB" w14:textId="77777777" w:rsidR="0001390C" w:rsidRPr="00C71591" w:rsidRDefault="0001390C" w:rsidP="005F3E2D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</w:p>
    <w:p w14:paraId="4264BBD2" w14:textId="5BB4103E" w:rsidR="00F01A3E" w:rsidRPr="00F446AB" w:rsidRDefault="00F446AB" w:rsidP="005F3E2D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pl-PL"/>
        </w:rPr>
      </w:pPr>
      <w:r w:rsidRPr="00F446AB">
        <w:rPr>
          <w:rStyle w:val="Pogrubienie"/>
          <w:rFonts w:eastAsiaTheme="majorEastAsia" w:cs="Arial"/>
          <w:spacing w:val="6"/>
          <w:sz w:val="24"/>
          <w:shd w:val="clear" w:color="auto" w:fill="FFFFFF"/>
          <w:lang w:val="pl-PL"/>
        </w:rPr>
        <w:t>Najlepsza pasza</w:t>
      </w:r>
    </w:p>
    <w:p w14:paraId="176E9DED" w14:textId="67C5C431" w:rsidR="00F446AB" w:rsidRPr="00F446AB" w:rsidRDefault="00F446AB" w:rsidP="00F446A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  <w:r w:rsidRPr="00F446AB">
        <w:rPr>
          <w:rFonts w:ascii="Arial" w:hAnsi="Arial" w:cs="Arial"/>
          <w:spacing w:val="6"/>
          <w:lang w:val="pl-PL"/>
        </w:rPr>
        <w:t>Najmłodszym dzieckiem w szerokiej palecie produktów PÖTTINGER jest prasa rolująca IMPRESS. Znajdzie ona swoje nowe miejsce w powstaj</w:t>
      </w:r>
      <w:r w:rsidR="00C71591">
        <w:rPr>
          <w:rFonts w:ascii="Arial" w:hAnsi="Arial" w:cs="Arial"/>
          <w:spacing w:val="6"/>
          <w:lang w:val="pl-PL"/>
        </w:rPr>
        <w:t>ą</w:t>
      </w:r>
      <w:r w:rsidRPr="00F446AB">
        <w:rPr>
          <w:rFonts w:ascii="Arial" w:hAnsi="Arial" w:cs="Arial"/>
          <w:spacing w:val="6"/>
          <w:lang w:val="pl-PL"/>
        </w:rPr>
        <w:t xml:space="preserve">cej fabryce w St. </w:t>
      </w:r>
      <w:proofErr w:type="spellStart"/>
      <w:r w:rsidRPr="00F446AB">
        <w:rPr>
          <w:rFonts w:ascii="Arial" w:hAnsi="Arial" w:cs="Arial"/>
          <w:spacing w:val="6"/>
          <w:lang w:val="pl-PL"/>
        </w:rPr>
        <w:t>Georgen</w:t>
      </w:r>
      <w:proofErr w:type="spellEnd"/>
      <w:r w:rsidRPr="00F446AB">
        <w:rPr>
          <w:rFonts w:ascii="Arial" w:hAnsi="Arial" w:cs="Arial"/>
          <w:spacing w:val="6"/>
          <w:lang w:val="pl-PL"/>
        </w:rPr>
        <w:t>, podobnie jak duża 4- karuzelowa zgrabiarka. Następne etapy rozbudowy obejmą miejsca montażowe także dla pozostałych dużych maszyn.</w:t>
      </w:r>
    </w:p>
    <w:p w14:paraId="09AD4F30" w14:textId="77777777" w:rsidR="00F446AB" w:rsidRPr="00F446AB" w:rsidRDefault="00F446AB" w:rsidP="00F446A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6"/>
          <w:lang w:val="pl-PL"/>
        </w:rPr>
      </w:pPr>
      <w:r w:rsidRPr="00F446AB">
        <w:rPr>
          <w:rFonts w:ascii="Arial" w:hAnsi="Arial" w:cs="Arial"/>
          <w:spacing w:val="6"/>
          <w:lang w:val="pl-PL"/>
        </w:rPr>
        <w:t>Podobnie elastycznie jak rozbudowa, w naturalny sposób będzie przebiegał przepływ pracowników do nowej fabryki. Ich duża część składa się ze sprawdzonych zespołów, które dzięki swojej wiedzy, fachowo i z najwyższą starannością zajmą się produkcją maszyn.</w:t>
      </w:r>
    </w:p>
    <w:p w14:paraId="070400CB" w14:textId="77777777" w:rsidR="007C422A" w:rsidRPr="00C71591" w:rsidRDefault="007C422A" w:rsidP="005F3E2D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pl-PL"/>
        </w:rPr>
      </w:pPr>
    </w:p>
    <w:p w14:paraId="6BACDE1D" w14:textId="798EF06A" w:rsidR="00F01A3E" w:rsidRPr="00F446AB" w:rsidRDefault="00F446AB" w:rsidP="005F3E2D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pl-PL"/>
        </w:rPr>
      </w:pPr>
      <w:r w:rsidRPr="00F446AB">
        <w:rPr>
          <w:rStyle w:val="Pogrubienie"/>
          <w:rFonts w:eastAsiaTheme="majorEastAsia" w:cs="Arial"/>
          <w:spacing w:val="6"/>
          <w:sz w:val="24"/>
          <w:shd w:val="clear" w:color="auto" w:fill="FFFFFF"/>
          <w:lang w:val="pl-PL"/>
        </w:rPr>
        <w:lastRenderedPageBreak/>
        <w:t>Technika rolnicza to nasze życie</w:t>
      </w:r>
      <w:r w:rsidR="00FA7FF6" w:rsidRPr="00F446AB">
        <w:rPr>
          <w:rFonts w:cs="Arial"/>
          <w:b/>
          <w:bCs/>
          <w:iCs/>
          <w:sz w:val="24"/>
          <w:szCs w:val="22"/>
          <w:lang w:val="pl-PL"/>
        </w:rPr>
        <w:t xml:space="preserve"> </w:t>
      </w:r>
    </w:p>
    <w:p w14:paraId="38DD6BE7" w14:textId="77777777" w:rsidR="00F446AB" w:rsidRPr="00F446AB" w:rsidRDefault="00F446AB" w:rsidP="005F3E2D">
      <w:pPr>
        <w:spacing w:line="360" w:lineRule="auto"/>
        <w:jc w:val="both"/>
        <w:rPr>
          <w:rFonts w:cs="Arial"/>
          <w:spacing w:val="6"/>
          <w:sz w:val="24"/>
          <w:shd w:val="clear" w:color="auto" w:fill="FFFFFF"/>
          <w:lang w:val="pl-PL"/>
        </w:rPr>
      </w:pPr>
      <w:r w:rsidRPr="00F446AB">
        <w:rPr>
          <w:rFonts w:cs="Arial"/>
          <w:spacing w:val="6"/>
          <w:sz w:val="24"/>
          <w:shd w:val="clear" w:color="auto" w:fill="FFFFFF"/>
          <w:lang w:val="pl-PL"/>
        </w:rPr>
        <w:t>Mimo aktualnej sytuacji innowacyjne przedsiębiorstwo chce pozostać na wybranym kursie. „W nowej fabryce będziemy realizowali to, co jest istotą naszego życia zawodowego, we wszystkich jego aspektach: szczególny nacisk jak zwykle położymy na wysoką jakość wykonania produktów pod kątem najlepszych efektów pracy,  ergonomicznych rozwiązań w otoczeniu pracowników i przyjazną środowisku budowę. Inwestycja w wysokości 25 mln euro w pierwszym etapie rozbudowy jest w pełni przemyślanym krokiem milowym w dalszym rozwoju firmy PÖTTINGER “, mówi z przekonaniem Gregor Dietachmayr (rzecznik zarządu).</w:t>
      </w:r>
    </w:p>
    <w:p w14:paraId="2B6CD81D" w14:textId="77777777" w:rsidR="00590656" w:rsidRPr="00C71591" w:rsidRDefault="00590656" w:rsidP="005F3E2D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</w:p>
    <w:p w14:paraId="54888FE3" w14:textId="1E20E8E8" w:rsidR="002432A5" w:rsidRPr="00315943" w:rsidRDefault="00F446AB" w:rsidP="00CA2767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de-DE"/>
        </w:rPr>
      </w:pPr>
      <w:proofErr w:type="spellStart"/>
      <w:r>
        <w:rPr>
          <w:rFonts w:cs="Arial"/>
          <w:b/>
          <w:bCs/>
          <w:iCs/>
          <w:sz w:val="24"/>
          <w:szCs w:val="22"/>
          <w:lang w:val="de-DE"/>
        </w:rPr>
        <w:t>Podgląd</w:t>
      </w:r>
      <w:proofErr w:type="spellEnd"/>
      <w:r>
        <w:rPr>
          <w:rFonts w:cs="Arial"/>
          <w:b/>
          <w:bCs/>
          <w:iCs/>
          <w:sz w:val="24"/>
          <w:szCs w:val="22"/>
          <w:lang w:val="de-DE"/>
        </w:rPr>
        <w:t xml:space="preserve"> </w:t>
      </w:r>
      <w:proofErr w:type="spellStart"/>
      <w:r>
        <w:rPr>
          <w:rFonts w:cs="Arial"/>
          <w:b/>
          <w:bCs/>
          <w:iCs/>
          <w:sz w:val="24"/>
          <w:szCs w:val="22"/>
          <w:lang w:val="de-DE"/>
        </w:rPr>
        <w:t>zdjęć</w:t>
      </w:r>
      <w:proofErr w:type="spellEnd"/>
      <w:r w:rsidR="00B92902" w:rsidRPr="00315943">
        <w:rPr>
          <w:rFonts w:cs="Arial"/>
          <w:b/>
          <w:bCs/>
          <w:iCs/>
          <w:sz w:val="24"/>
          <w:szCs w:val="22"/>
          <w:lang w:val="de-D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1"/>
        <w:gridCol w:w="4551"/>
      </w:tblGrid>
      <w:tr w:rsidR="00F64E25" w14:paraId="23F87BD8" w14:textId="77777777" w:rsidTr="00F64E25">
        <w:tc>
          <w:tcPr>
            <w:tcW w:w="9062" w:type="dxa"/>
            <w:gridSpan w:val="2"/>
          </w:tcPr>
          <w:p w14:paraId="579FAE8F" w14:textId="3D1976F7" w:rsidR="00C70D8C" w:rsidRPr="00407C91" w:rsidRDefault="00407C91" w:rsidP="00407C91">
            <w:pPr>
              <w:spacing w:line="360" w:lineRule="auto"/>
              <w:jc w:val="center"/>
              <w:rPr>
                <w:rFonts w:cs="Arial"/>
                <w:iCs/>
                <w:color w:val="FF0000"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DE6F969" wp14:editId="28721EEF">
                  <wp:extent cx="1728788" cy="1152525"/>
                  <wp:effectExtent l="0" t="0" r="508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334" cy="115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E25" w:rsidRPr="00C71591" w14:paraId="215CB152" w14:textId="77777777" w:rsidTr="00F64E25">
        <w:tc>
          <w:tcPr>
            <w:tcW w:w="9062" w:type="dxa"/>
            <w:gridSpan w:val="2"/>
          </w:tcPr>
          <w:p w14:paraId="596CFA7C" w14:textId="0995605C" w:rsidR="00F64E25" w:rsidRPr="00FD43FD" w:rsidRDefault="00FD43FD" w:rsidP="00C70D8C">
            <w:pPr>
              <w:jc w:val="both"/>
              <w:rPr>
                <w:rFonts w:cs="Arial"/>
                <w:iCs/>
                <w:szCs w:val="22"/>
                <w:lang w:val="pl-PL"/>
              </w:rPr>
            </w:pPr>
            <w:r w:rsidRPr="00FD43FD">
              <w:rPr>
                <w:rFonts w:cs="Arial"/>
                <w:iCs/>
                <w:szCs w:val="22"/>
                <w:lang w:val="pl-PL"/>
              </w:rPr>
              <w:t>Zarząd firmy kładzie kamień węgielny pod nową fabrykę</w:t>
            </w:r>
            <w:r w:rsidR="001C4CD4" w:rsidRPr="00FD43FD">
              <w:rPr>
                <w:rFonts w:cs="Arial"/>
                <w:iCs/>
                <w:szCs w:val="22"/>
                <w:lang w:val="pl-PL"/>
              </w:rPr>
              <w:t>.</w:t>
            </w:r>
          </w:p>
          <w:p w14:paraId="0EB3C36C" w14:textId="2DFE8BD1" w:rsidR="00C70D8C" w:rsidRPr="00C70D8C" w:rsidRDefault="00FD43FD" w:rsidP="00C70D8C">
            <w:pPr>
              <w:jc w:val="both"/>
              <w:rPr>
                <w:rFonts w:cs="Arial"/>
                <w:iCs/>
                <w:szCs w:val="22"/>
                <w:lang w:val="de-DE"/>
              </w:rPr>
            </w:pPr>
            <w:r>
              <w:rPr>
                <w:rFonts w:cs="Arial"/>
                <w:iCs/>
                <w:szCs w:val="22"/>
                <w:lang w:val="de-DE"/>
              </w:rPr>
              <w:t xml:space="preserve">Od </w:t>
            </w:r>
            <w:proofErr w:type="spellStart"/>
            <w:r>
              <w:rPr>
                <w:rFonts w:cs="Arial"/>
                <w:iCs/>
                <w:szCs w:val="22"/>
                <w:lang w:val="de-DE"/>
              </w:rPr>
              <w:t>lewej</w:t>
            </w:r>
            <w:proofErr w:type="spellEnd"/>
            <w:r w:rsidR="001C4CD4" w:rsidRPr="001C4CD4">
              <w:rPr>
                <w:rFonts w:cs="Arial"/>
                <w:iCs/>
                <w:szCs w:val="22"/>
                <w:lang w:val="de-DE"/>
              </w:rPr>
              <w:t>.:</w:t>
            </w:r>
            <w:r w:rsidR="00C70D8C">
              <w:rPr>
                <w:rFonts w:cs="Arial"/>
                <w:iCs/>
                <w:szCs w:val="22"/>
                <w:lang w:val="de-DE"/>
              </w:rPr>
              <w:t xml:space="preserve"> Dr.</w:t>
            </w:r>
            <w:r w:rsidR="001C4CD4" w:rsidRPr="001C4CD4">
              <w:rPr>
                <w:rFonts w:cs="Arial"/>
                <w:iCs/>
                <w:szCs w:val="22"/>
                <w:lang w:val="de-DE"/>
              </w:rPr>
              <w:t xml:space="preserve"> </w:t>
            </w:r>
            <w:r w:rsidR="00F930DA">
              <w:rPr>
                <w:rFonts w:cs="Arial"/>
                <w:iCs/>
                <w:szCs w:val="22"/>
                <w:lang w:val="de-DE"/>
              </w:rPr>
              <w:t>Markus Baldinger</w:t>
            </w:r>
            <w:r w:rsidR="00C70D8C">
              <w:rPr>
                <w:rFonts w:cs="Arial"/>
                <w:iCs/>
                <w:szCs w:val="22"/>
                <w:lang w:val="de-DE"/>
              </w:rPr>
              <w:t>,</w:t>
            </w:r>
            <w:r w:rsidR="00F930DA">
              <w:rPr>
                <w:rFonts w:cs="Arial"/>
                <w:iCs/>
                <w:szCs w:val="22"/>
                <w:lang w:val="de-DE"/>
              </w:rPr>
              <w:t xml:space="preserve"> </w:t>
            </w:r>
            <w:r w:rsidR="001C4CD4" w:rsidRPr="001C4CD4">
              <w:rPr>
                <w:rFonts w:cs="Arial"/>
                <w:iCs/>
                <w:szCs w:val="22"/>
                <w:lang w:val="de-DE"/>
              </w:rPr>
              <w:t>Jörg Lechn</w:t>
            </w:r>
            <w:r w:rsidR="001C4CD4">
              <w:rPr>
                <w:rFonts w:cs="Arial"/>
                <w:iCs/>
                <w:szCs w:val="22"/>
                <w:lang w:val="de-DE"/>
              </w:rPr>
              <w:t xml:space="preserve">er, </w:t>
            </w:r>
            <w:r w:rsidR="00F930DA">
              <w:rPr>
                <w:rFonts w:cs="Arial"/>
                <w:iCs/>
                <w:szCs w:val="22"/>
                <w:lang w:val="de-DE"/>
              </w:rPr>
              <w:t xml:space="preserve">Klaus und Heinz Pöttinger, Gregor Dietachmayr, </w:t>
            </w:r>
            <w:r w:rsidR="001C4CD4">
              <w:rPr>
                <w:rFonts w:cs="Arial"/>
                <w:iCs/>
                <w:szCs w:val="22"/>
                <w:lang w:val="de-DE"/>
              </w:rPr>
              <w:t xml:space="preserve">Herbert Wagner, </w:t>
            </w:r>
            <w:r w:rsidR="00F930DA">
              <w:rPr>
                <w:rFonts w:cs="Arial"/>
                <w:iCs/>
                <w:szCs w:val="22"/>
                <w:lang w:val="de-DE"/>
              </w:rPr>
              <w:t>Wolfgang Moser</w:t>
            </w:r>
          </w:p>
        </w:tc>
      </w:tr>
      <w:tr w:rsidR="00F64E25" w:rsidRPr="00C71591" w14:paraId="5AB96704" w14:textId="77777777" w:rsidTr="00F64E25">
        <w:tc>
          <w:tcPr>
            <w:tcW w:w="9062" w:type="dxa"/>
            <w:gridSpan w:val="2"/>
          </w:tcPr>
          <w:p w14:paraId="7C0B5B45" w14:textId="022A8986" w:rsidR="00F64E25" w:rsidRPr="00407C91" w:rsidRDefault="00F94AC8" w:rsidP="00CA2767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  <w:lang w:val="de-DE"/>
              </w:rPr>
            </w:pPr>
            <w:hyperlink r:id="rId9" w:history="1">
              <w:r w:rsidR="00407C91" w:rsidRPr="00407C91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https://www.poettinger.at/de_at/Newsroom/Pressebild/4508</w:t>
              </w:r>
            </w:hyperlink>
          </w:p>
        </w:tc>
      </w:tr>
      <w:tr w:rsidR="004F3A6C" w14:paraId="241CB473" w14:textId="77777777" w:rsidTr="00F64E25">
        <w:tc>
          <w:tcPr>
            <w:tcW w:w="4511" w:type="dxa"/>
          </w:tcPr>
          <w:p w14:paraId="1604D5E1" w14:textId="3BC4B305" w:rsidR="00E47BB9" w:rsidRPr="00F64E25" w:rsidRDefault="00F9706B" w:rsidP="002432A5">
            <w:pPr>
              <w:spacing w:line="360" w:lineRule="auto"/>
              <w:jc w:val="center"/>
              <w:rPr>
                <w:rFonts w:cs="Arial"/>
                <w:iCs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4148FF3" wp14:editId="1B4BD826">
                  <wp:extent cx="1410195" cy="904875"/>
                  <wp:effectExtent l="0" t="0" r="0" b="0"/>
                  <wp:docPr id="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194" cy="90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14:paraId="528DC71E" w14:textId="3C89F988" w:rsidR="00E47BB9" w:rsidRDefault="004F3A6C" w:rsidP="002432A5">
            <w:pPr>
              <w:spacing w:line="360" w:lineRule="auto"/>
              <w:jc w:val="center"/>
              <w:rPr>
                <w:rFonts w:cs="Arial"/>
                <w:iCs/>
                <w:sz w:val="24"/>
                <w:szCs w:val="22"/>
              </w:rPr>
            </w:pPr>
            <w:r w:rsidRPr="004F3A6C">
              <w:rPr>
                <w:rFonts w:cs="Arial"/>
                <w:iCs/>
                <w:noProof/>
                <w:sz w:val="24"/>
                <w:szCs w:val="22"/>
              </w:rPr>
              <w:drawing>
                <wp:inline distT="0" distB="0" distL="0" distR="0" wp14:anchorId="1436A622" wp14:editId="0F902405">
                  <wp:extent cx="1453552" cy="966159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977" cy="98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A6C" w:rsidRPr="00C71591" w14:paraId="1AE8F383" w14:textId="77777777" w:rsidTr="00F64E25">
        <w:tc>
          <w:tcPr>
            <w:tcW w:w="4511" w:type="dxa"/>
          </w:tcPr>
          <w:p w14:paraId="7C435E7D" w14:textId="5201D774" w:rsidR="00E47BB9" w:rsidRPr="00FD43FD" w:rsidRDefault="00FD43FD" w:rsidP="004F3A6C">
            <w:pPr>
              <w:jc w:val="center"/>
              <w:rPr>
                <w:rFonts w:cs="Arial"/>
                <w:iCs/>
                <w:szCs w:val="22"/>
                <w:lang w:val="pl-PL"/>
              </w:rPr>
            </w:pPr>
            <w:r w:rsidRPr="00FD43FD">
              <w:rPr>
                <w:rFonts w:cs="Arial"/>
                <w:iCs/>
                <w:szCs w:val="22"/>
                <w:lang w:val="pl-PL"/>
              </w:rPr>
              <w:t xml:space="preserve">Nowy budynek </w:t>
            </w:r>
            <w:r w:rsidR="00F64E25" w:rsidRPr="00FD43FD">
              <w:rPr>
                <w:rFonts w:cs="Arial"/>
                <w:iCs/>
                <w:szCs w:val="22"/>
                <w:lang w:val="pl-PL"/>
              </w:rPr>
              <w:t>harmoni</w:t>
            </w:r>
            <w:r w:rsidRPr="00FD43FD">
              <w:rPr>
                <w:rFonts w:cs="Arial"/>
                <w:iCs/>
                <w:szCs w:val="22"/>
                <w:lang w:val="pl-PL"/>
              </w:rPr>
              <w:t>jnie wpisze się w krajob</w:t>
            </w:r>
            <w:r>
              <w:rPr>
                <w:rFonts w:cs="Arial"/>
                <w:iCs/>
                <w:szCs w:val="22"/>
                <w:lang w:val="pl-PL"/>
              </w:rPr>
              <w:t>raz</w:t>
            </w:r>
          </w:p>
        </w:tc>
        <w:tc>
          <w:tcPr>
            <w:tcW w:w="4551" w:type="dxa"/>
          </w:tcPr>
          <w:p w14:paraId="3F8CE2E3" w14:textId="33C855F8" w:rsidR="00E47BB9" w:rsidRPr="00FD43FD" w:rsidRDefault="00FD43FD" w:rsidP="00500FA9">
            <w:pPr>
              <w:jc w:val="center"/>
              <w:rPr>
                <w:rFonts w:cs="Arial"/>
                <w:iCs/>
                <w:szCs w:val="22"/>
                <w:lang w:val="pl-PL"/>
              </w:rPr>
            </w:pPr>
            <w:r w:rsidRPr="00FD43FD">
              <w:rPr>
                <w:rFonts w:cs="Arial"/>
                <w:iCs/>
                <w:szCs w:val="22"/>
                <w:lang w:val="pl-PL"/>
              </w:rPr>
              <w:t>Prasa rolujące będzie produkowana w pobliżu gł</w:t>
            </w:r>
            <w:r>
              <w:rPr>
                <w:rFonts w:cs="Arial"/>
                <w:iCs/>
                <w:szCs w:val="22"/>
                <w:lang w:val="pl-PL"/>
              </w:rPr>
              <w:t>ó</w:t>
            </w:r>
            <w:r w:rsidRPr="00FD43FD">
              <w:rPr>
                <w:rFonts w:cs="Arial"/>
                <w:iCs/>
                <w:szCs w:val="22"/>
                <w:lang w:val="pl-PL"/>
              </w:rPr>
              <w:t>wnej siedzib</w:t>
            </w:r>
            <w:r>
              <w:rPr>
                <w:rFonts w:cs="Arial"/>
                <w:iCs/>
                <w:szCs w:val="22"/>
                <w:lang w:val="pl-PL"/>
              </w:rPr>
              <w:t>y firmy</w:t>
            </w:r>
          </w:p>
        </w:tc>
      </w:tr>
      <w:tr w:rsidR="004F3A6C" w:rsidRPr="00C71591" w14:paraId="5BECF838" w14:textId="77777777" w:rsidTr="00F64E25">
        <w:tc>
          <w:tcPr>
            <w:tcW w:w="4511" w:type="dxa"/>
          </w:tcPr>
          <w:p w14:paraId="75D2A248" w14:textId="0C2B3964" w:rsidR="00E47BB9" w:rsidRPr="00C71591" w:rsidRDefault="00F94AC8" w:rsidP="00F9706B">
            <w:pPr>
              <w:jc w:val="center"/>
              <w:rPr>
                <w:rFonts w:cs="Arial"/>
                <w:iCs/>
                <w:sz w:val="20"/>
                <w:szCs w:val="20"/>
                <w:lang w:val="pl-PL"/>
              </w:rPr>
            </w:pPr>
            <w:hyperlink r:id="rId12" w:history="1">
              <w:r w:rsidR="00F9706B" w:rsidRPr="00C71591">
                <w:rPr>
                  <w:color w:val="0000FF"/>
                  <w:sz w:val="20"/>
                  <w:szCs w:val="20"/>
                  <w:u w:val="single"/>
                  <w:lang w:val="pl-PL"/>
                </w:rPr>
                <w:t>https://www.poettinger.at/de_at/Newsroom/Pressebild/4509</w:t>
              </w:r>
            </w:hyperlink>
          </w:p>
        </w:tc>
        <w:tc>
          <w:tcPr>
            <w:tcW w:w="4551" w:type="dxa"/>
          </w:tcPr>
          <w:p w14:paraId="2CA89F1D" w14:textId="6549C334" w:rsidR="00E47BB9" w:rsidRPr="00C71591" w:rsidRDefault="00F94AC8" w:rsidP="002432A5">
            <w:pPr>
              <w:jc w:val="center"/>
              <w:rPr>
                <w:rFonts w:cs="Arial"/>
                <w:iCs/>
                <w:sz w:val="20"/>
                <w:szCs w:val="20"/>
                <w:lang w:val="pl-PL"/>
              </w:rPr>
            </w:pPr>
            <w:hyperlink r:id="rId13" w:history="1">
              <w:r w:rsidR="004F3A6C" w:rsidRPr="00C71591">
                <w:rPr>
                  <w:rStyle w:val="Hipercze"/>
                  <w:sz w:val="20"/>
                  <w:szCs w:val="20"/>
                  <w:lang w:val="pl-PL"/>
                </w:rPr>
                <w:t>https://www.poettinger.at/de_at/Newsroom/Pressebild/4303</w:t>
              </w:r>
            </w:hyperlink>
          </w:p>
        </w:tc>
      </w:tr>
    </w:tbl>
    <w:p w14:paraId="327411CD" w14:textId="23CA4CBA" w:rsidR="004F3A6C" w:rsidRPr="00C71591" w:rsidRDefault="004F3A6C" w:rsidP="00FE665B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</w:p>
    <w:p w14:paraId="22EE2F59" w14:textId="269B3084" w:rsidR="004F3A6C" w:rsidRPr="00C71591" w:rsidRDefault="004F3A6C" w:rsidP="00FE665B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</w:p>
    <w:p w14:paraId="2AA100DC" w14:textId="77777777" w:rsidR="004F3A6C" w:rsidRPr="00C71591" w:rsidRDefault="004F3A6C" w:rsidP="00FE665B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</w:p>
    <w:p w14:paraId="024CF6E8" w14:textId="2AE89A89" w:rsidR="00E237FC" w:rsidRPr="00FD43FD" w:rsidRDefault="00FD43FD" w:rsidP="00FE665B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  <w:r w:rsidRPr="00FD43FD">
        <w:rPr>
          <w:rFonts w:cs="Arial"/>
          <w:iCs/>
          <w:sz w:val="24"/>
          <w:szCs w:val="22"/>
          <w:lang w:val="pl-PL"/>
        </w:rPr>
        <w:t xml:space="preserve">Pozostałe zdjęcia w </w:t>
      </w:r>
      <w:r>
        <w:rPr>
          <w:rFonts w:cs="Arial"/>
          <w:iCs/>
          <w:sz w:val="24"/>
          <w:szCs w:val="22"/>
          <w:lang w:val="pl-PL"/>
        </w:rPr>
        <w:t>jakości do druku</w:t>
      </w:r>
      <w:r w:rsidR="00FE665B" w:rsidRPr="00FD43FD">
        <w:rPr>
          <w:rFonts w:cs="Arial"/>
          <w:iCs/>
          <w:sz w:val="24"/>
          <w:szCs w:val="22"/>
          <w:lang w:val="pl-PL"/>
        </w:rPr>
        <w:t xml:space="preserve">: </w:t>
      </w:r>
      <w:hyperlink r:id="rId14" w:history="1">
        <w:r w:rsidR="00FE665B" w:rsidRPr="00FD43FD">
          <w:rPr>
            <w:rStyle w:val="Hipercze"/>
            <w:rFonts w:cs="Arial"/>
            <w:iCs/>
            <w:sz w:val="20"/>
            <w:szCs w:val="20"/>
            <w:lang w:val="pl-PL"/>
          </w:rPr>
          <w:t>https://www.poettinger.at/de_at/Produkte/Downloads</w:t>
        </w:r>
      </w:hyperlink>
      <w:r w:rsidR="00FE665B" w:rsidRPr="00FD43FD">
        <w:rPr>
          <w:rStyle w:val="Hipercze"/>
          <w:rFonts w:cs="Arial"/>
          <w:iCs/>
          <w:sz w:val="20"/>
          <w:szCs w:val="20"/>
          <w:lang w:val="pl-PL"/>
        </w:rPr>
        <w:t xml:space="preserve"> </w:t>
      </w:r>
    </w:p>
    <w:sectPr w:rsidR="00E237FC" w:rsidRPr="00FD43FD" w:rsidSect="00A92099">
      <w:headerReference w:type="default" r:id="rId15"/>
      <w:footerReference w:type="default" r:id="rId16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5C96F" w14:textId="77777777" w:rsidR="00F94AC8" w:rsidRDefault="00F94AC8" w:rsidP="00A92099">
      <w:r>
        <w:separator/>
      </w:r>
    </w:p>
  </w:endnote>
  <w:endnote w:type="continuationSeparator" w:id="0">
    <w:p w14:paraId="67F2DAE4" w14:textId="77777777" w:rsidR="00F94AC8" w:rsidRDefault="00F94AC8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21BEE" w14:textId="77777777" w:rsidR="00A208A5" w:rsidRPr="00796525" w:rsidRDefault="00A208A5" w:rsidP="00F514CE">
    <w:pPr>
      <w:rPr>
        <w:rFonts w:cs="Arial"/>
        <w:b/>
        <w:sz w:val="18"/>
        <w:szCs w:val="18"/>
        <w:lang w:val="de-DE"/>
      </w:rPr>
    </w:pPr>
  </w:p>
  <w:p w14:paraId="72B636C0" w14:textId="056E32B1" w:rsidR="00A208A5" w:rsidRPr="00796525" w:rsidRDefault="00A208A5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 xml:space="preserve">GmbH </w:t>
    </w:r>
  </w:p>
  <w:p w14:paraId="0B233511" w14:textId="2B7D18F0" w:rsidR="00A208A5" w:rsidRPr="00B131A8" w:rsidRDefault="00FD43FD" w:rsidP="00F514CE">
    <w:pPr>
      <w:rPr>
        <w:rFonts w:cs="Arial"/>
        <w:sz w:val="18"/>
        <w:szCs w:val="18"/>
        <w:lang w:val="pl-PL"/>
      </w:rPr>
    </w:pPr>
    <w:r w:rsidRPr="00C71591">
      <w:rPr>
        <w:rFonts w:cs="Arial"/>
        <w:sz w:val="18"/>
        <w:szCs w:val="18"/>
        <w:lang w:val="de-DE"/>
      </w:rPr>
      <w:t>Edyta Tyrakowska</w:t>
    </w:r>
    <w:r w:rsidR="00B131A8" w:rsidRPr="00C71591">
      <w:rPr>
        <w:rFonts w:cs="Arial"/>
        <w:sz w:val="18"/>
        <w:szCs w:val="18"/>
        <w:lang w:val="de-DE"/>
      </w:rPr>
      <w:t xml:space="preserve">. </w:t>
    </w:r>
    <w:r w:rsidR="00A208A5" w:rsidRPr="00B131A8">
      <w:rPr>
        <w:rFonts w:cs="Arial"/>
        <w:sz w:val="18"/>
        <w:szCs w:val="18"/>
        <w:lang w:val="pl-PL"/>
      </w:rPr>
      <w:t>Tel</w:t>
    </w:r>
    <w:r w:rsidR="002432A5" w:rsidRPr="00B131A8">
      <w:rPr>
        <w:rFonts w:cs="Arial"/>
        <w:sz w:val="18"/>
        <w:szCs w:val="18"/>
        <w:lang w:val="pl-PL"/>
      </w:rPr>
      <w:t>.</w:t>
    </w:r>
    <w:r w:rsidR="00A208A5" w:rsidRPr="00B131A8">
      <w:rPr>
        <w:rFonts w:cs="Arial"/>
        <w:sz w:val="18"/>
        <w:szCs w:val="18"/>
        <w:lang w:val="pl-PL"/>
      </w:rPr>
      <w:t>: +4</w:t>
    </w:r>
    <w:r w:rsidR="00B131A8" w:rsidRPr="00B131A8">
      <w:rPr>
        <w:rFonts w:cs="Arial"/>
        <w:sz w:val="18"/>
        <w:szCs w:val="18"/>
        <w:lang w:val="pl-PL"/>
      </w:rPr>
      <w:t>8</w:t>
    </w:r>
    <w:r w:rsidR="00A208A5" w:rsidRPr="00B131A8">
      <w:rPr>
        <w:rFonts w:cs="Arial"/>
        <w:sz w:val="18"/>
        <w:szCs w:val="18"/>
        <w:lang w:val="pl-PL"/>
      </w:rPr>
      <w:t xml:space="preserve"> </w:t>
    </w:r>
    <w:r w:rsidR="00B131A8" w:rsidRPr="00B131A8">
      <w:rPr>
        <w:rFonts w:cs="Arial"/>
        <w:sz w:val="18"/>
        <w:szCs w:val="18"/>
        <w:lang w:val="pl-PL"/>
      </w:rPr>
      <w:t>603 770 957,</w:t>
    </w:r>
    <w:r w:rsidR="00A208A5" w:rsidRPr="00B131A8">
      <w:rPr>
        <w:rFonts w:cs="Arial"/>
        <w:sz w:val="18"/>
        <w:szCs w:val="18"/>
        <w:lang w:val="pl-PL"/>
      </w:rPr>
      <w:t xml:space="preserve"> E-Mail:</w:t>
    </w:r>
    <w:r w:rsidR="00B131A8" w:rsidRPr="00B131A8">
      <w:rPr>
        <w:rFonts w:cs="Arial"/>
        <w:sz w:val="18"/>
        <w:szCs w:val="18"/>
        <w:lang w:val="pl-PL"/>
      </w:rPr>
      <w:t xml:space="preserve"> </w:t>
    </w:r>
    <w:hyperlink r:id="rId1" w:history="1">
      <w:r w:rsidR="00B131A8" w:rsidRPr="00B131A8">
        <w:rPr>
          <w:rStyle w:val="Hipercze"/>
          <w:rFonts w:cs="Arial"/>
          <w:sz w:val="18"/>
          <w:szCs w:val="18"/>
          <w:lang w:val="pl-PL"/>
        </w:rPr>
        <w:t>edyta.tyrakowska@poettinger.at</w:t>
      </w:r>
    </w:hyperlink>
    <w:r w:rsidR="00B131A8" w:rsidRPr="00B131A8">
      <w:rPr>
        <w:rFonts w:cs="Arial"/>
        <w:sz w:val="18"/>
        <w:szCs w:val="18"/>
        <w:lang w:val="pl-PL"/>
      </w:rPr>
      <w:t>, www.poettinger.pl</w:t>
    </w:r>
    <w:r w:rsidR="00A208A5" w:rsidRPr="00B131A8">
      <w:rPr>
        <w:rFonts w:cs="Arial"/>
        <w:sz w:val="18"/>
        <w:szCs w:val="18"/>
        <w:lang w:val="pl-PL"/>
      </w:rPr>
      <w:tab/>
    </w:r>
    <w:r w:rsidR="00A208A5" w:rsidRPr="00B131A8">
      <w:rPr>
        <w:rFonts w:cs="Arial"/>
        <w:sz w:val="18"/>
        <w:szCs w:val="18"/>
        <w:lang w:val="pl-PL"/>
      </w:rPr>
      <w:tab/>
    </w:r>
    <w:r w:rsidR="00A208A5" w:rsidRPr="00B131A8">
      <w:rPr>
        <w:rFonts w:cs="Arial"/>
        <w:sz w:val="18"/>
        <w:szCs w:val="18"/>
        <w:lang w:val="pl-PL"/>
      </w:rPr>
      <w:tab/>
    </w:r>
    <w:r w:rsidR="00A208A5" w:rsidRPr="00B131A8">
      <w:rPr>
        <w:rFonts w:cs="Arial"/>
        <w:sz w:val="18"/>
        <w:szCs w:val="18"/>
        <w:lang w:val="pl-PL"/>
      </w:rPr>
      <w:tab/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83790" w14:textId="77777777" w:rsidR="00F94AC8" w:rsidRDefault="00F94AC8" w:rsidP="00A92099">
      <w:r>
        <w:separator/>
      </w:r>
    </w:p>
  </w:footnote>
  <w:footnote w:type="continuationSeparator" w:id="0">
    <w:p w14:paraId="5A939E19" w14:textId="77777777" w:rsidR="00F94AC8" w:rsidRDefault="00F94AC8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6C71" w14:textId="77777777" w:rsidR="0050134B" w:rsidRDefault="0050134B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  <w:p w14:paraId="09FE0DA9" w14:textId="03E5D810" w:rsidR="00A208A5" w:rsidRDefault="00A208A5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proofErr w:type="spellStart"/>
    <w:r>
      <w:rPr>
        <w:rFonts w:cs="Arial"/>
        <w:b/>
        <w:sz w:val="24"/>
        <w:lang w:val="de-DE"/>
      </w:rPr>
      <w:t>Inform</w:t>
    </w:r>
    <w:r w:rsidR="00F67D2B">
      <w:rPr>
        <w:rFonts w:cs="Arial"/>
        <w:b/>
        <w:sz w:val="24"/>
        <w:lang w:val="de-DE"/>
      </w:rPr>
      <w:t>acj</w:t>
    </w:r>
    <w:r w:rsidR="00C71591">
      <w:rPr>
        <w:rFonts w:cs="Arial"/>
        <w:b/>
        <w:sz w:val="24"/>
        <w:lang w:val="de-DE"/>
      </w:rPr>
      <w:t>a</w:t>
    </w:r>
    <w:proofErr w:type="spellEnd"/>
    <w:r w:rsidR="00F67D2B">
      <w:rPr>
        <w:rFonts w:cs="Arial"/>
        <w:b/>
        <w:sz w:val="24"/>
        <w:lang w:val="de-DE"/>
      </w:rPr>
      <w:t xml:space="preserve"> prasowa</w:t>
    </w:r>
    <w:r w:rsidR="00164D81">
      <w:rPr>
        <w:rFonts w:cs="Arial"/>
        <w:b/>
        <w:sz w:val="24"/>
        <w:lang w:val="de-DE"/>
      </w:rPr>
      <w:t xml:space="preserve">                                </w:t>
    </w:r>
    <w:r w:rsidR="0050134B">
      <w:rPr>
        <w:rFonts w:cs="Arial"/>
        <w:b/>
        <w:sz w:val="24"/>
        <w:lang w:val="de-DE"/>
      </w:rPr>
      <w:t xml:space="preserve">          </w:t>
    </w:r>
    <w:r w:rsidR="0050134B" w:rsidRPr="007170E3">
      <w:rPr>
        <w:rFonts w:ascii="Times New Roman" w:hAnsi="Times New Roman" w:cs="Arial"/>
        <w:b/>
        <w:noProof/>
        <w:sz w:val="24"/>
        <w:szCs w:val="20"/>
        <w:lang w:val="de-DE" w:eastAsia="de-DE"/>
      </w:rPr>
      <w:drawing>
        <wp:inline distT="0" distB="0" distL="0" distR="0" wp14:anchorId="63C45C23" wp14:editId="7F0F976F">
          <wp:extent cx="2495550" cy="244662"/>
          <wp:effectExtent l="19050" t="0" r="0" b="0"/>
          <wp:docPr id="7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5EC15E" w14:textId="1500E298" w:rsidR="00A208A5" w:rsidRPr="00563BB7" w:rsidRDefault="00F930DA" w:rsidP="00F930DA">
    <w:pPr>
      <w:tabs>
        <w:tab w:val="left" w:pos="175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0F8D"/>
    <w:multiLevelType w:val="hybridMultilevel"/>
    <w:tmpl w:val="9732F338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1BE37900"/>
    <w:multiLevelType w:val="hybridMultilevel"/>
    <w:tmpl w:val="94E6CAF2"/>
    <w:lvl w:ilvl="0" w:tplc="4386BF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49DF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275E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8135E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CD38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68DAA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4B13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C8DE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03BD0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40C9"/>
    <w:multiLevelType w:val="hybridMultilevel"/>
    <w:tmpl w:val="0650906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E483F"/>
    <w:multiLevelType w:val="hybridMultilevel"/>
    <w:tmpl w:val="C4769986"/>
    <w:lvl w:ilvl="0" w:tplc="45762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096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E63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468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6D4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09F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A4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C0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02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35A728C"/>
    <w:multiLevelType w:val="hybridMultilevel"/>
    <w:tmpl w:val="56AA3972"/>
    <w:lvl w:ilvl="0" w:tplc="56B4C7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83BF4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40A20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E750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06AA8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4BE40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D8E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4EEC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88F8E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A2"/>
    <w:rsid w:val="00004639"/>
    <w:rsid w:val="0000763A"/>
    <w:rsid w:val="00007B8B"/>
    <w:rsid w:val="0001390C"/>
    <w:rsid w:val="00024DEC"/>
    <w:rsid w:val="0003716D"/>
    <w:rsid w:val="000526C2"/>
    <w:rsid w:val="00052B91"/>
    <w:rsid w:val="00067C23"/>
    <w:rsid w:val="00071C82"/>
    <w:rsid w:val="000A2642"/>
    <w:rsid w:val="000B23EB"/>
    <w:rsid w:val="000F03B1"/>
    <w:rsid w:val="00106D35"/>
    <w:rsid w:val="001270F0"/>
    <w:rsid w:val="00130139"/>
    <w:rsid w:val="00144728"/>
    <w:rsid w:val="00164D81"/>
    <w:rsid w:val="00165A91"/>
    <w:rsid w:val="001800DD"/>
    <w:rsid w:val="00190489"/>
    <w:rsid w:val="001931CF"/>
    <w:rsid w:val="001A7EDC"/>
    <w:rsid w:val="001B7819"/>
    <w:rsid w:val="001C4CD4"/>
    <w:rsid w:val="001D6FFC"/>
    <w:rsid w:val="001F2200"/>
    <w:rsid w:val="00202241"/>
    <w:rsid w:val="0020419F"/>
    <w:rsid w:val="002079F9"/>
    <w:rsid w:val="00210F6E"/>
    <w:rsid w:val="002327B8"/>
    <w:rsid w:val="00235D48"/>
    <w:rsid w:val="002432A5"/>
    <w:rsid w:val="00244808"/>
    <w:rsid w:val="00253B60"/>
    <w:rsid w:val="00256971"/>
    <w:rsid w:val="00257676"/>
    <w:rsid w:val="002A6DFF"/>
    <w:rsid w:val="002B240F"/>
    <w:rsid w:val="002C3F55"/>
    <w:rsid w:val="002D3E00"/>
    <w:rsid w:val="0031581A"/>
    <w:rsid w:val="00315943"/>
    <w:rsid w:val="0033632A"/>
    <w:rsid w:val="00342563"/>
    <w:rsid w:val="00357245"/>
    <w:rsid w:val="003A1396"/>
    <w:rsid w:val="003A6B12"/>
    <w:rsid w:val="003B31A0"/>
    <w:rsid w:val="003B6E17"/>
    <w:rsid w:val="003D34BC"/>
    <w:rsid w:val="00400F27"/>
    <w:rsid w:val="00403E96"/>
    <w:rsid w:val="00407C91"/>
    <w:rsid w:val="00431B30"/>
    <w:rsid w:val="00444268"/>
    <w:rsid w:val="0045104B"/>
    <w:rsid w:val="00475180"/>
    <w:rsid w:val="00475F1D"/>
    <w:rsid w:val="00487436"/>
    <w:rsid w:val="004A299E"/>
    <w:rsid w:val="004A4D6F"/>
    <w:rsid w:val="004A798C"/>
    <w:rsid w:val="004D51C0"/>
    <w:rsid w:val="004D7405"/>
    <w:rsid w:val="004F3A6C"/>
    <w:rsid w:val="004F4B59"/>
    <w:rsid w:val="00500FA9"/>
    <w:rsid w:val="0050134B"/>
    <w:rsid w:val="005039B8"/>
    <w:rsid w:val="00505163"/>
    <w:rsid w:val="00542926"/>
    <w:rsid w:val="00550C48"/>
    <w:rsid w:val="00552AFD"/>
    <w:rsid w:val="00553987"/>
    <w:rsid w:val="00563BB7"/>
    <w:rsid w:val="00585770"/>
    <w:rsid w:val="00590656"/>
    <w:rsid w:val="00595BE3"/>
    <w:rsid w:val="005A0963"/>
    <w:rsid w:val="005D795E"/>
    <w:rsid w:val="005F3E2D"/>
    <w:rsid w:val="005F5CBC"/>
    <w:rsid w:val="00631023"/>
    <w:rsid w:val="00637793"/>
    <w:rsid w:val="00654233"/>
    <w:rsid w:val="006719D1"/>
    <w:rsid w:val="006B6841"/>
    <w:rsid w:val="006D59B5"/>
    <w:rsid w:val="007010CB"/>
    <w:rsid w:val="00715A2F"/>
    <w:rsid w:val="0074784D"/>
    <w:rsid w:val="00763FAE"/>
    <w:rsid w:val="00796525"/>
    <w:rsid w:val="007B12BD"/>
    <w:rsid w:val="007B4598"/>
    <w:rsid w:val="007C422A"/>
    <w:rsid w:val="007C745B"/>
    <w:rsid w:val="007F640C"/>
    <w:rsid w:val="0081122D"/>
    <w:rsid w:val="00826732"/>
    <w:rsid w:val="00826F12"/>
    <w:rsid w:val="0083131A"/>
    <w:rsid w:val="00860AA5"/>
    <w:rsid w:val="00864E57"/>
    <w:rsid w:val="008857FE"/>
    <w:rsid w:val="008E2A0C"/>
    <w:rsid w:val="008F3142"/>
    <w:rsid w:val="00901920"/>
    <w:rsid w:val="00901EF1"/>
    <w:rsid w:val="00904BC1"/>
    <w:rsid w:val="00917D61"/>
    <w:rsid w:val="00917E58"/>
    <w:rsid w:val="00924C22"/>
    <w:rsid w:val="0092761A"/>
    <w:rsid w:val="00930D86"/>
    <w:rsid w:val="0093621E"/>
    <w:rsid w:val="00936BB4"/>
    <w:rsid w:val="00946C1F"/>
    <w:rsid w:val="00950078"/>
    <w:rsid w:val="00952D7D"/>
    <w:rsid w:val="00953077"/>
    <w:rsid w:val="00965677"/>
    <w:rsid w:val="00993CA1"/>
    <w:rsid w:val="00A06B04"/>
    <w:rsid w:val="00A07718"/>
    <w:rsid w:val="00A208A5"/>
    <w:rsid w:val="00A44931"/>
    <w:rsid w:val="00A5255D"/>
    <w:rsid w:val="00A52D6E"/>
    <w:rsid w:val="00A53612"/>
    <w:rsid w:val="00A65772"/>
    <w:rsid w:val="00A748EF"/>
    <w:rsid w:val="00A911ED"/>
    <w:rsid w:val="00A92099"/>
    <w:rsid w:val="00AA0189"/>
    <w:rsid w:val="00AA7F34"/>
    <w:rsid w:val="00AB6584"/>
    <w:rsid w:val="00AC3755"/>
    <w:rsid w:val="00AD14B4"/>
    <w:rsid w:val="00AD315E"/>
    <w:rsid w:val="00AF011D"/>
    <w:rsid w:val="00AF3C1D"/>
    <w:rsid w:val="00AF50F1"/>
    <w:rsid w:val="00B131A8"/>
    <w:rsid w:val="00B172F3"/>
    <w:rsid w:val="00B337FF"/>
    <w:rsid w:val="00B41EBA"/>
    <w:rsid w:val="00B4485D"/>
    <w:rsid w:val="00B562EB"/>
    <w:rsid w:val="00B8343B"/>
    <w:rsid w:val="00B8401E"/>
    <w:rsid w:val="00B92902"/>
    <w:rsid w:val="00BC593F"/>
    <w:rsid w:val="00BD6B85"/>
    <w:rsid w:val="00BE06AF"/>
    <w:rsid w:val="00BE3DE8"/>
    <w:rsid w:val="00BE6712"/>
    <w:rsid w:val="00BF1D9C"/>
    <w:rsid w:val="00BF22A8"/>
    <w:rsid w:val="00C0139F"/>
    <w:rsid w:val="00C06D38"/>
    <w:rsid w:val="00C075D5"/>
    <w:rsid w:val="00C22754"/>
    <w:rsid w:val="00C26635"/>
    <w:rsid w:val="00C34C96"/>
    <w:rsid w:val="00C3647D"/>
    <w:rsid w:val="00C61B36"/>
    <w:rsid w:val="00C70D8C"/>
    <w:rsid w:val="00C71591"/>
    <w:rsid w:val="00C84C3E"/>
    <w:rsid w:val="00CA2767"/>
    <w:rsid w:val="00CB2C5F"/>
    <w:rsid w:val="00CB2D2C"/>
    <w:rsid w:val="00CC4F79"/>
    <w:rsid w:val="00CE2EA2"/>
    <w:rsid w:val="00D1441D"/>
    <w:rsid w:val="00D3066F"/>
    <w:rsid w:val="00D4476F"/>
    <w:rsid w:val="00D561F3"/>
    <w:rsid w:val="00D6690A"/>
    <w:rsid w:val="00D71018"/>
    <w:rsid w:val="00D83B5A"/>
    <w:rsid w:val="00D91618"/>
    <w:rsid w:val="00DA0A66"/>
    <w:rsid w:val="00DB042E"/>
    <w:rsid w:val="00DB3959"/>
    <w:rsid w:val="00DC4813"/>
    <w:rsid w:val="00DC681C"/>
    <w:rsid w:val="00DE156E"/>
    <w:rsid w:val="00E237FC"/>
    <w:rsid w:val="00E26C97"/>
    <w:rsid w:val="00E37FEB"/>
    <w:rsid w:val="00E43F70"/>
    <w:rsid w:val="00E45216"/>
    <w:rsid w:val="00E47BB9"/>
    <w:rsid w:val="00E47F25"/>
    <w:rsid w:val="00E63E2D"/>
    <w:rsid w:val="00E663BF"/>
    <w:rsid w:val="00E95FED"/>
    <w:rsid w:val="00EA622E"/>
    <w:rsid w:val="00ED0EFD"/>
    <w:rsid w:val="00ED4F7E"/>
    <w:rsid w:val="00ED5E1A"/>
    <w:rsid w:val="00EF046D"/>
    <w:rsid w:val="00F01A3E"/>
    <w:rsid w:val="00F05C97"/>
    <w:rsid w:val="00F201BE"/>
    <w:rsid w:val="00F23AAD"/>
    <w:rsid w:val="00F2555A"/>
    <w:rsid w:val="00F27EF1"/>
    <w:rsid w:val="00F446AB"/>
    <w:rsid w:val="00F514CE"/>
    <w:rsid w:val="00F51C21"/>
    <w:rsid w:val="00F523EB"/>
    <w:rsid w:val="00F64E25"/>
    <w:rsid w:val="00F67D2B"/>
    <w:rsid w:val="00F7486E"/>
    <w:rsid w:val="00F930DA"/>
    <w:rsid w:val="00F94AC8"/>
    <w:rsid w:val="00F9706B"/>
    <w:rsid w:val="00FA7FF6"/>
    <w:rsid w:val="00FD43FD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2B2F6"/>
  <w15:docId w15:val="{FDB356B0-8E17-4619-81C3-815AF87D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A65772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A6577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ipercze">
    <w:name w:val="Hyperlink"/>
    <w:basedOn w:val="Domylnaczcionkaakapitu"/>
    <w:rsid w:val="007C745B"/>
    <w:rPr>
      <w:color w:val="0000FF"/>
      <w:u w:val="single"/>
    </w:rPr>
  </w:style>
  <w:style w:type="table" w:styleId="Tabela-Siatka">
    <w:name w:val="Table Grid"/>
    <w:basedOn w:val="Standardowy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kstpodstawowy3Znak">
    <w:name w:val="Tekst podstawowy 3 Znak"/>
    <w:basedOn w:val="Domylnaczcionkaakapitu"/>
    <w:link w:val="Tekstpodstawowy3"/>
    <w:rsid w:val="00CA2767"/>
    <w:rPr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257676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7BB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67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19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823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277">
          <w:marLeft w:val="706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ettinger.at/de_at/Newsroom/Pressebild/430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45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poettinger.at/de_at/Newsroom/Pressebild/4508" TargetMode="External"/><Relationship Id="rId14" Type="http://schemas.openxmlformats.org/officeDocument/2006/relationships/hyperlink" Target="https://www.poettinger.at/de_at/Produkte/Downloa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yta.tyrakowska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0322C5-4185-48C3-BF12-3FDDC5CD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Edyta</cp:lastModifiedBy>
  <cp:revision>2</cp:revision>
  <cp:lastPrinted>2020-01-30T10:11:00Z</cp:lastPrinted>
  <dcterms:created xsi:type="dcterms:W3CDTF">2020-05-06T09:44:00Z</dcterms:created>
  <dcterms:modified xsi:type="dcterms:W3CDTF">2020-05-06T09:44:00Z</dcterms:modified>
</cp:coreProperties>
</file>