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F0B1" w14:textId="3458E67B" w:rsidR="006978CF" w:rsidRPr="005C0DD9" w:rsidRDefault="000938A3" w:rsidP="000C4E9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Pöttinger: </w:t>
      </w:r>
      <w:r w:rsidR="0060543B" w:rsidRPr="005C0DD9">
        <w:rPr>
          <w:rFonts w:ascii="Arial" w:eastAsia="Times New Roman" w:hAnsi="Arial" w:cs="Arial"/>
          <w:sz w:val="40"/>
          <w:szCs w:val="40"/>
        </w:rPr>
        <w:t>Update für</w:t>
      </w:r>
      <w:r w:rsidR="005D2ACE" w:rsidRPr="005C0DD9">
        <w:rPr>
          <w:rFonts w:ascii="Arial" w:eastAsia="Times New Roman" w:hAnsi="Arial" w:cs="Arial"/>
          <w:sz w:val="40"/>
          <w:szCs w:val="40"/>
        </w:rPr>
        <w:t xml:space="preserve"> </w:t>
      </w:r>
      <w:r w:rsidR="0060543B" w:rsidRPr="005C0DD9">
        <w:rPr>
          <w:rFonts w:ascii="Arial" w:eastAsia="Times New Roman" w:hAnsi="Arial" w:cs="Arial"/>
          <w:sz w:val="40"/>
          <w:szCs w:val="40"/>
        </w:rPr>
        <w:t>Kulturpflegemaschinen</w:t>
      </w:r>
    </w:p>
    <w:p w14:paraId="0DE93054" w14:textId="331104F8" w:rsidR="005D2ACE" w:rsidRPr="005C0DD9" w:rsidRDefault="0060543B" w:rsidP="000C4E9F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0DD9">
        <w:rPr>
          <w:rFonts w:ascii="Arial" w:eastAsia="Times New Roman" w:hAnsi="Arial" w:cs="Arial"/>
          <w:sz w:val="32"/>
          <w:szCs w:val="32"/>
        </w:rPr>
        <w:t>Feature-Erweiterungen für</w:t>
      </w:r>
      <w:r w:rsidR="005D2ACE" w:rsidRPr="005C0DD9">
        <w:rPr>
          <w:rFonts w:ascii="Arial" w:eastAsia="Times New Roman" w:hAnsi="Arial" w:cs="Arial"/>
          <w:sz w:val="32"/>
          <w:szCs w:val="32"/>
        </w:rPr>
        <w:t xml:space="preserve"> </w:t>
      </w:r>
      <w:r w:rsidRPr="005C0DD9">
        <w:rPr>
          <w:rFonts w:ascii="Arial" w:eastAsia="Times New Roman" w:hAnsi="Arial" w:cs="Arial"/>
          <w:sz w:val="32"/>
          <w:szCs w:val="32"/>
        </w:rPr>
        <w:t>ROTOCARE und FLEXCARE</w:t>
      </w:r>
    </w:p>
    <w:p w14:paraId="1D91A3AA" w14:textId="4A782FB8" w:rsidR="0052173B" w:rsidRPr="000C4E9F" w:rsidRDefault="0060543B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C4E9F">
        <w:rPr>
          <w:rFonts w:ascii="Arial" w:hAnsi="Arial" w:cs="Arial"/>
          <w:sz w:val="24"/>
          <w:szCs w:val="24"/>
        </w:rPr>
        <w:t>Die bereits bewährten</w:t>
      </w:r>
      <w:r w:rsidR="007269F6">
        <w:rPr>
          <w:rFonts w:ascii="Arial" w:hAnsi="Arial" w:cs="Arial"/>
          <w:sz w:val="24"/>
          <w:szCs w:val="24"/>
        </w:rPr>
        <w:t>,</w:t>
      </w:r>
      <w:r w:rsidRPr="000C4E9F">
        <w:rPr>
          <w:rFonts w:ascii="Arial" w:hAnsi="Arial" w:cs="Arial"/>
          <w:sz w:val="24"/>
          <w:szCs w:val="24"/>
        </w:rPr>
        <w:t xml:space="preserve"> mechanischen Kulturpflegemaschinen ROTOCARE und FLEXCARE von </w:t>
      </w:r>
      <w:r w:rsidR="007269F6">
        <w:rPr>
          <w:rFonts w:ascii="Arial" w:hAnsi="Arial" w:cs="Arial"/>
          <w:sz w:val="24"/>
          <w:szCs w:val="24"/>
        </w:rPr>
        <w:t>Pöttinger</w:t>
      </w:r>
      <w:r w:rsidRPr="000C4E9F">
        <w:rPr>
          <w:rFonts w:ascii="Arial" w:hAnsi="Arial" w:cs="Arial"/>
          <w:sz w:val="24"/>
          <w:szCs w:val="24"/>
        </w:rPr>
        <w:t xml:space="preserve"> bekommen ab Herbst 2023 weitere Features. Dazu zählt bei den Rollhacken ROTOCARE V 6600 und V 8000 die Möglichkeit eines TEGOSEM Aufbaus sowie bei allen FLEXCARE Hackgeräten von 4,7 bis 9,2 m Arbeitsbreite die optionale automatische Steuerung der Hackelemente per Section Control.</w:t>
      </w:r>
    </w:p>
    <w:p w14:paraId="41C14CAD" w14:textId="77777777" w:rsidR="00683216" w:rsidRDefault="00683216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4EF6117" w14:textId="11731855" w:rsidR="005D2ACE" w:rsidRPr="000C4E9F" w:rsidRDefault="0060543B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ROTOCARE – noch flexibler</w:t>
      </w:r>
      <w:r w:rsidR="00DD7DF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im Einsatz</w:t>
      </w:r>
    </w:p>
    <w:p w14:paraId="52F3CD2E" w14:textId="4265588F" w:rsidR="0060543B" w:rsidRPr="000C4E9F" w:rsidRDefault="0060543B" w:rsidP="000C4E9F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Neben der Beikrautregulierung kann die ROTOCARE für eine Vielzahl an Einsatzmöglichkeiten verwendet werden. Die Rollhacke ist zusätzlich für das </w:t>
      </w:r>
      <w:r w:rsidRPr="000E5D13">
        <w:rPr>
          <w:rFonts w:ascii="Arial" w:hAnsi="Arial" w:cs="Arial"/>
          <w:color w:val="auto"/>
          <w:spacing w:val="0"/>
          <w:sz w:val="24"/>
          <w:szCs w:val="24"/>
        </w:rPr>
        <w:t xml:space="preserve">Aufbrechen von verkrusteten Böden, die Einarbeitung von Düngemitteln, das Ausbringen </w:t>
      </w:r>
      <w:r w:rsidR="00C9208A" w:rsidRPr="000E5D13">
        <w:rPr>
          <w:rFonts w:ascii="Arial" w:hAnsi="Arial" w:cs="Arial"/>
          <w:color w:val="auto"/>
          <w:spacing w:val="0"/>
          <w:sz w:val="24"/>
          <w:szCs w:val="24"/>
        </w:rPr>
        <w:t xml:space="preserve">von Saatgut oder Spurennährstoffen </w:t>
      </w:r>
      <w:r w:rsidRPr="000E5D13">
        <w:rPr>
          <w:rFonts w:ascii="Arial" w:hAnsi="Arial" w:cs="Arial"/>
          <w:color w:val="auto"/>
          <w:spacing w:val="0"/>
          <w:sz w:val="24"/>
          <w:szCs w:val="24"/>
        </w:rPr>
        <w:t>sowie zur flachen Stoppelbearbeitung geeignet. Die vielfältigen Einsatzzwecke steigern die Flexibilität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der Maschine sowie die Maschinenauslastung. Der effektive</w:t>
      </w:r>
      <w:r w:rsidR="00F07839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>Fahrbereich der ROTOCARE liegt zwischen 10 und 30 km/h. Dabei muss die</w:t>
      </w:r>
      <w:r w:rsidR="00F07839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>Arbeitsgeschwindigkeit den Einsatzbedingungen angepasst werden.</w:t>
      </w:r>
    </w:p>
    <w:p w14:paraId="415FAFA5" w14:textId="77777777" w:rsidR="00683216" w:rsidRDefault="00683216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2FA75474" w:rsidR="00FB2306" w:rsidRPr="000C4E9F" w:rsidRDefault="0060543B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TEGOSEM</w:t>
      </w:r>
      <w:r w:rsidR="00093872"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Tank</w:t>
      </w:r>
    </w:p>
    <w:p w14:paraId="1BB79917" w14:textId="570BAB70" w:rsidR="00F07839" w:rsidRPr="000C4E9F" w:rsidRDefault="00F07839" w:rsidP="000C4E9F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0C4E9F">
        <w:rPr>
          <w:rFonts w:ascii="Arial" w:hAnsi="Arial" w:cs="Arial"/>
          <w:color w:val="auto"/>
          <w:spacing w:val="0"/>
          <w:sz w:val="24"/>
          <w:szCs w:val="24"/>
        </w:rPr>
        <w:t>D</w:t>
      </w:r>
      <w:r w:rsidR="00093872" w:rsidRPr="000C4E9F">
        <w:rPr>
          <w:rFonts w:ascii="Arial" w:hAnsi="Arial" w:cs="Arial"/>
          <w:color w:val="auto"/>
          <w:spacing w:val="0"/>
          <w:sz w:val="24"/>
          <w:szCs w:val="24"/>
        </w:rPr>
        <w:t>er flexible</w:t>
      </w:r>
      <w:r w:rsidR="00D85F90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>TEGOSEM</w:t>
      </w:r>
      <w:r w:rsidR="00093872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Tank</w:t>
      </w:r>
      <w:r w:rsidR="00D85F90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kombiniert die Bodenbearbeitung und die Ausbringung von Zwischenfrüchten, Mikrogranulat oder Untersaaten in einem Arbeitsschritt und sorgt so für Zeit- und Kostenersparnis. Die TEGOSEM ist bei den ROTOCARE Rollhacken mit 6,6 </w:t>
      </w:r>
      <w:r w:rsidR="00CF3A8F">
        <w:rPr>
          <w:rFonts w:ascii="Arial" w:hAnsi="Arial" w:cs="Arial"/>
          <w:color w:val="auto"/>
          <w:spacing w:val="0"/>
          <w:sz w:val="24"/>
          <w:szCs w:val="24"/>
        </w:rPr>
        <w:t>oder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8</w:t>
      </w:r>
      <w:r w:rsidR="00CF3A8F">
        <w:rPr>
          <w:rFonts w:ascii="Arial" w:hAnsi="Arial" w:cs="Arial"/>
          <w:color w:val="auto"/>
          <w:spacing w:val="0"/>
          <w:sz w:val="24"/>
          <w:szCs w:val="24"/>
        </w:rPr>
        <w:t>,0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m Arbeitsbreite </w:t>
      </w:r>
      <w:r w:rsidR="001F02A9">
        <w:rPr>
          <w:rFonts w:ascii="Arial" w:hAnsi="Arial" w:cs="Arial"/>
          <w:color w:val="auto"/>
          <w:spacing w:val="0"/>
          <w:sz w:val="24"/>
          <w:szCs w:val="24"/>
        </w:rPr>
        <w:t xml:space="preserve">– hinsichtlich Schwerpunkt </w:t>
      </w:r>
      <w:r w:rsidR="001E56D5">
        <w:rPr>
          <w:rFonts w:ascii="Arial" w:hAnsi="Arial" w:cs="Arial"/>
          <w:color w:val="auto"/>
          <w:spacing w:val="0"/>
          <w:sz w:val="24"/>
          <w:szCs w:val="24"/>
        </w:rPr>
        <w:t>–</w:t>
      </w:r>
      <w:r w:rsidR="001F02A9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EB4EC2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auf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dem Hauptrahmen angebracht. Ein Beladesteg sorgt für eine sichere Beladung des 200 </w:t>
      </w:r>
      <w:r w:rsidR="00D14975">
        <w:rPr>
          <w:rFonts w:ascii="Arial" w:hAnsi="Arial" w:cs="Arial"/>
          <w:color w:val="auto"/>
          <w:spacing w:val="0"/>
          <w:sz w:val="24"/>
          <w:szCs w:val="24"/>
        </w:rPr>
        <w:t>und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500 Liter fassenden Tanks.</w:t>
      </w:r>
    </w:p>
    <w:p w14:paraId="5760E867" w14:textId="77777777" w:rsidR="002026E8" w:rsidRDefault="002026E8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34CBEACB" w14:textId="35C811D5" w:rsidR="00051C90" w:rsidRPr="000C4E9F" w:rsidRDefault="00F07839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FLEXCARE – </w:t>
      </w:r>
      <w:r w:rsidR="0004678F"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maximal flexibel</w:t>
      </w:r>
    </w:p>
    <w:p w14:paraId="67D0046B" w14:textId="0C413C02" w:rsidR="00F1687B" w:rsidRDefault="00AB5426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einzigartige Konzept des</w:t>
      </w:r>
      <w:r w:rsidR="00F1687B" w:rsidRPr="000C4E9F">
        <w:rPr>
          <w:rFonts w:ascii="Arial" w:hAnsi="Arial" w:cs="Arial"/>
          <w:sz w:val="24"/>
          <w:szCs w:val="24"/>
        </w:rPr>
        <w:t xml:space="preserve"> FLEXCARE Hackgerät</w:t>
      </w:r>
      <w:r>
        <w:rPr>
          <w:rFonts w:ascii="Arial" w:hAnsi="Arial" w:cs="Arial"/>
          <w:sz w:val="24"/>
          <w:szCs w:val="24"/>
        </w:rPr>
        <w:t>s</w:t>
      </w:r>
      <w:r w:rsidR="00F1687B" w:rsidRPr="000C4E9F">
        <w:rPr>
          <w:rFonts w:ascii="Arial" w:hAnsi="Arial" w:cs="Arial"/>
          <w:sz w:val="24"/>
          <w:szCs w:val="24"/>
        </w:rPr>
        <w:t xml:space="preserve"> von </w:t>
      </w:r>
      <w:r w:rsidR="007269F6">
        <w:rPr>
          <w:rFonts w:ascii="Arial" w:hAnsi="Arial" w:cs="Arial"/>
          <w:sz w:val="24"/>
          <w:szCs w:val="24"/>
        </w:rPr>
        <w:t>Pöttinger</w:t>
      </w:r>
      <w:r w:rsidR="00F1687B" w:rsidRPr="000C4E9F">
        <w:rPr>
          <w:rFonts w:ascii="Arial" w:hAnsi="Arial" w:cs="Arial"/>
          <w:sz w:val="24"/>
          <w:szCs w:val="24"/>
        </w:rPr>
        <w:t xml:space="preserve"> bietet volle Flexibilität für den Einsatz in unterschiedlichen Kulturen</w:t>
      </w:r>
      <w:r w:rsidR="00F1687B" w:rsidRPr="009A1CB6">
        <w:rPr>
          <w:rFonts w:ascii="Arial" w:hAnsi="Arial" w:cs="Arial"/>
          <w:sz w:val="24"/>
          <w:szCs w:val="24"/>
        </w:rPr>
        <w:t xml:space="preserve">. </w:t>
      </w:r>
      <w:r w:rsidR="00432C24" w:rsidRPr="009A1CB6">
        <w:rPr>
          <w:rFonts w:ascii="Arial" w:hAnsi="Arial" w:cs="Arial"/>
          <w:sz w:val="24"/>
          <w:szCs w:val="24"/>
        </w:rPr>
        <w:t xml:space="preserve">Passend zum gegebenen Reihenabstand kann die </w:t>
      </w:r>
      <w:r w:rsidR="00F1687B" w:rsidRPr="009A1CB6">
        <w:rPr>
          <w:rFonts w:ascii="Arial" w:hAnsi="Arial" w:cs="Arial"/>
          <w:sz w:val="24"/>
          <w:szCs w:val="24"/>
        </w:rPr>
        <w:t>Arbeitsbreite der Hackelemente</w:t>
      </w:r>
      <w:r w:rsidR="00432C24" w:rsidRPr="009A1CB6">
        <w:rPr>
          <w:rFonts w:ascii="Arial" w:hAnsi="Arial" w:cs="Arial"/>
          <w:sz w:val="24"/>
          <w:szCs w:val="24"/>
        </w:rPr>
        <w:t xml:space="preserve">, die richtige Position der Schare und die </w:t>
      </w:r>
      <w:r w:rsidR="00F1687B" w:rsidRPr="009A1CB6">
        <w:rPr>
          <w:rFonts w:ascii="Arial" w:hAnsi="Arial" w:cs="Arial"/>
          <w:sz w:val="24"/>
          <w:szCs w:val="24"/>
        </w:rPr>
        <w:t>Feineinstellungen der Fingerhacke</w:t>
      </w:r>
      <w:r w:rsidR="00432C24" w:rsidRPr="009A1CB6">
        <w:rPr>
          <w:rFonts w:ascii="Arial" w:hAnsi="Arial" w:cs="Arial"/>
          <w:sz w:val="24"/>
          <w:szCs w:val="24"/>
        </w:rPr>
        <w:t xml:space="preserve"> </w:t>
      </w:r>
      <w:r w:rsidR="00F1687B" w:rsidRPr="009A1CB6">
        <w:rPr>
          <w:rFonts w:ascii="Arial" w:hAnsi="Arial" w:cs="Arial"/>
          <w:sz w:val="24"/>
          <w:szCs w:val="24"/>
        </w:rPr>
        <w:t xml:space="preserve">komplett werkzeuglos </w:t>
      </w:r>
      <w:r w:rsidR="00432C24" w:rsidRPr="009A1CB6">
        <w:rPr>
          <w:rFonts w:ascii="Arial" w:hAnsi="Arial" w:cs="Arial"/>
          <w:sz w:val="24"/>
          <w:szCs w:val="24"/>
        </w:rPr>
        <w:t xml:space="preserve">verstellt </w:t>
      </w:r>
      <w:r w:rsidR="00432C24" w:rsidRPr="009A1CB6">
        <w:rPr>
          <w:rFonts w:ascii="Arial" w:hAnsi="Arial" w:cs="Arial"/>
          <w:sz w:val="24"/>
          <w:szCs w:val="24"/>
        </w:rPr>
        <w:lastRenderedPageBreak/>
        <w:t>werden</w:t>
      </w:r>
      <w:r w:rsidR="00F1687B" w:rsidRPr="009A1CB6">
        <w:rPr>
          <w:rFonts w:ascii="Arial" w:hAnsi="Arial" w:cs="Arial"/>
          <w:sz w:val="24"/>
          <w:szCs w:val="24"/>
        </w:rPr>
        <w:t xml:space="preserve">. Eine exakte Tiefenführung </w:t>
      </w:r>
      <w:r w:rsidR="00432C24" w:rsidRPr="009A1CB6">
        <w:rPr>
          <w:rFonts w:ascii="Arial" w:hAnsi="Arial" w:cs="Arial"/>
          <w:sz w:val="24"/>
          <w:szCs w:val="24"/>
        </w:rPr>
        <w:t xml:space="preserve">unter allen Bedingungen </w:t>
      </w:r>
      <w:r w:rsidR="00F1687B" w:rsidRPr="009A1CB6">
        <w:rPr>
          <w:rFonts w:ascii="Arial" w:hAnsi="Arial" w:cs="Arial"/>
          <w:sz w:val="24"/>
          <w:szCs w:val="24"/>
        </w:rPr>
        <w:t>und eine kulturschonende Arbeitsweise zeichnen die Maschine aus.</w:t>
      </w:r>
    </w:p>
    <w:p w14:paraId="43654B3E" w14:textId="77777777" w:rsidR="00432C24" w:rsidRPr="000C4E9F" w:rsidRDefault="00432C24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D58B071" w14:textId="76ADE2A3" w:rsidR="005D2ACE" w:rsidRPr="000C4E9F" w:rsidRDefault="0004678F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Präzise S</w:t>
      </w:r>
      <w:r w:rsidR="00F07839"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teuerung mit Section Control</w:t>
      </w:r>
    </w:p>
    <w:p w14:paraId="5C356122" w14:textId="5DC57F97" w:rsidR="00F07839" w:rsidRPr="000C4E9F" w:rsidRDefault="00F07839" w:rsidP="000C4E9F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0C4E9F">
        <w:rPr>
          <w:rFonts w:ascii="Arial" w:hAnsi="Arial" w:cs="Arial"/>
          <w:color w:val="auto"/>
          <w:spacing w:val="0"/>
          <w:sz w:val="24"/>
          <w:szCs w:val="24"/>
        </w:rPr>
        <w:t>Die optionale Section Control Steuerung ermöglicht es</w:t>
      </w:r>
      <w:r w:rsidR="00D14975">
        <w:rPr>
          <w:rFonts w:ascii="Arial" w:hAnsi="Arial" w:cs="Arial"/>
          <w:color w:val="auto"/>
          <w:spacing w:val="0"/>
          <w:sz w:val="24"/>
          <w:szCs w:val="24"/>
        </w:rPr>
        <w:t>,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 punktgenau die Hackelemente GPS-gesteuert ein- und aussetzen zu lassen. Dies funktioniert automatisch beim Überfahren des querenden Bereiches. Somit wird besonders in Feldkeilen, bei Überlappungen oder Feldgrenzen die Kultur geschont. Jedes Hackelement besitzt </w:t>
      </w:r>
      <w:r w:rsidR="0004678F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dafür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>einen doppeltwirkenden Hydraulikzylinder, wodurch die Hackelemente GPS-basiert am Vorgewende oder in Feldkeilen ausgehoben und auch wieder eingesetzt werden. Der Fahrer wird somit nochmals entlastet und kann sich komplett auf die Arbeitsqualität des Hackgerätes konzentrieren.</w:t>
      </w:r>
    </w:p>
    <w:p w14:paraId="2FB3379B" w14:textId="15BA1D75" w:rsidR="007F40D7" w:rsidRDefault="007F40D7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494299">
        <w:rPr>
          <w:rFonts w:ascii="Arial" w:hAnsi="Arial" w:cs="Arial"/>
          <w:b/>
          <w:bCs/>
          <w:sz w:val="24"/>
          <w:szCs w:val="24"/>
          <w:lang w:val="de-AT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0447" w14:paraId="15E24032" w14:textId="77777777" w:rsidTr="00470447">
        <w:tc>
          <w:tcPr>
            <w:tcW w:w="4531" w:type="dxa"/>
          </w:tcPr>
          <w:p w14:paraId="73856440" w14:textId="07A36075" w:rsidR="00470447" w:rsidRDefault="003F1E7D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0B37E3C" wp14:editId="5FEC286E">
                  <wp:simplePos x="0" y="0"/>
                  <wp:positionH relativeFrom="column">
                    <wp:posOffset>777323</wp:posOffset>
                  </wp:positionH>
                  <wp:positionV relativeFrom="paragraph">
                    <wp:posOffset>133902</wp:posOffset>
                  </wp:positionV>
                  <wp:extent cx="1391533" cy="929622"/>
                  <wp:effectExtent l="0" t="0" r="0" b="4445"/>
                  <wp:wrapNone/>
                  <wp:docPr id="5239893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33" cy="92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7ABC68" w14:textId="77777777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2F7969D9" w14:textId="77777777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08A5AFC3" w14:textId="77777777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680F3870" w14:textId="77777777" w:rsidR="00F37FD7" w:rsidRDefault="00F37FD7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531" w:type="dxa"/>
          </w:tcPr>
          <w:p w14:paraId="2AF50C36" w14:textId="6C63EC8C" w:rsidR="00470447" w:rsidRDefault="0052408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F014AA8" wp14:editId="3E877FF4">
                  <wp:simplePos x="0" y="0"/>
                  <wp:positionH relativeFrom="column">
                    <wp:posOffset>609573</wp:posOffset>
                  </wp:positionH>
                  <wp:positionV relativeFrom="paragraph">
                    <wp:posOffset>181693</wp:posOffset>
                  </wp:positionV>
                  <wp:extent cx="1471046" cy="982741"/>
                  <wp:effectExtent l="0" t="0" r="0" b="8255"/>
                  <wp:wrapNone/>
                  <wp:docPr id="14715797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46" cy="98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447" w14:paraId="1BC7B300" w14:textId="77777777" w:rsidTr="00470447">
        <w:tc>
          <w:tcPr>
            <w:tcW w:w="4531" w:type="dxa"/>
          </w:tcPr>
          <w:p w14:paraId="23C58A12" w14:textId="444AFA9C" w:rsidR="00470447" w:rsidRDefault="00470447" w:rsidP="003F1E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 w:rsidRPr="00CD5275">
              <w:rPr>
                <w:rFonts w:ascii="Arial" w:hAnsi="Arial"/>
                <w:sz w:val="22"/>
                <w:szCs w:val="22"/>
                <w:lang w:val="de-AT" w:eastAsia="en-US"/>
              </w:rPr>
              <w:t>FLEXCARE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 </w:t>
            </w:r>
            <w:r w:rsidR="003F1E7D">
              <w:rPr>
                <w:rFonts w:ascii="Arial" w:hAnsi="Arial"/>
                <w:sz w:val="22"/>
                <w:szCs w:val="22"/>
                <w:lang w:val="de-AT" w:eastAsia="en-US"/>
              </w:rPr>
              <w:t>V 6200</w:t>
            </w:r>
            <w:r w:rsidRPr="009C2C02">
              <w:rPr>
                <w:rFonts w:ascii="Arial" w:hAnsi="Arial"/>
                <w:color w:val="FF00FF"/>
                <w:sz w:val="22"/>
                <w:szCs w:val="22"/>
                <w:lang w:val="de-AT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>mit präziser Steuerung</w:t>
            </w:r>
          </w:p>
        </w:tc>
        <w:tc>
          <w:tcPr>
            <w:tcW w:w="4531" w:type="dxa"/>
          </w:tcPr>
          <w:p w14:paraId="6C4E8816" w14:textId="2DF94DFD" w:rsidR="00470447" w:rsidRPr="00BA58AA" w:rsidRDefault="0052408A" w:rsidP="003F1E7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BA58AA">
              <w:rPr>
                <w:rFonts w:ascii="Arial" w:hAnsi="Arial" w:cs="Arial"/>
                <w:sz w:val="22"/>
                <w:szCs w:val="22"/>
                <w:lang w:val="de-AT"/>
              </w:rPr>
              <w:t xml:space="preserve">FLEXCARE V 6200 </w:t>
            </w:r>
            <w:r w:rsidR="00BA58AA" w:rsidRPr="00BA58AA">
              <w:rPr>
                <w:rFonts w:ascii="Arial" w:hAnsi="Arial" w:cs="Arial"/>
                <w:sz w:val="22"/>
                <w:szCs w:val="22"/>
                <w:lang w:val="de-AT"/>
              </w:rPr>
              <w:t>–</w:t>
            </w:r>
            <w:r w:rsidRPr="00BA58AA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BA58AA" w:rsidRPr="00BA58AA">
              <w:rPr>
                <w:rFonts w:ascii="Arial" w:hAnsi="Arial" w:cs="Arial"/>
                <w:sz w:val="22"/>
                <w:szCs w:val="22"/>
                <w:lang w:val="de-AT"/>
              </w:rPr>
              <w:t>glänzt besonders bei Feldkeilen</w:t>
            </w:r>
          </w:p>
        </w:tc>
      </w:tr>
      <w:tr w:rsidR="00470447" w:rsidRPr="003F1E7D" w14:paraId="7C923738" w14:textId="77777777" w:rsidTr="00470447">
        <w:tc>
          <w:tcPr>
            <w:tcW w:w="4531" w:type="dxa"/>
          </w:tcPr>
          <w:p w14:paraId="20DA1C96" w14:textId="072A3468" w:rsidR="00470447" w:rsidRPr="003F1E7D" w:rsidRDefault="00000000" w:rsidP="003F1E7D">
            <w:pPr>
              <w:jc w:val="center"/>
              <w:rPr>
                <w:rFonts w:ascii="Arial" w:hAnsi="Arial" w:cs="Arial"/>
                <w:lang w:val="de-AT"/>
              </w:rPr>
            </w:pPr>
            <w:hyperlink r:id="rId12" w:history="1">
              <w:r w:rsidR="003F1E7D" w:rsidRPr="003F1E7D">
                <w:rPr>
                  <w:rStyle w:val="Hyperlink"/>
                  <w:rFonts w:ascii="Arial" w:hAnsi="Arial" w:cs="Arial"/>
                  <w:lang w:val="de-AT"/>
                </w:rPr>
                <w:t>https://www.poettinger.at/de_at/newsroom/pressebild/105275</w:t>
              </w:r>
            </w:hyperlink>
          </w:p>
          <w:p w14:paraId="572AB5FB" w14:textId="7CA25BA3" w:rsidR="003F1E7D" w:rsidRPr="003F1E7D" w:rsidRDefault="003F1E7D" w:rsidP="003F1E7D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4531" w:type="dxa"/>
          </w:tcPr>
          <w:p w14:paraId="7FBF1B09" w14:textId="69D04706" w:rsidR="00470447" w:rsidRPr="003F1E7D" w:rsidRDefault="00000000" w:rsidP="003F1E7D">
            <w:pPr>
              <w:jc w:val="center"/>
              <w:rPr>
                <w:rFonts w:ascii="Arial" w:hAnsi="Arial" w:cs="Arial"/>
                <w:lang w:val="de-AT"/>
              </w:rPr>
            </w:pPr>
            <w:hyperlink r:id="rId13" w:history="1">
              <w:r w:rsidR="00DE1DD2" w:rsidRPr="003F1E7D">
                <w:rPr>
                  <w:rStyle w:val="Hyperlink"/>
                  <w:rFonts w:ascii="Arial" w:hAnsi="Arial" w:cs="Arial"/>
                  <w:lang w:val="de-AT"/>
                </w:rPr>
                <w:t>https://www.poettinger.at/de_at/newsroom/pressebild/105274</w:t>
              </w:r>
            </w:hyperlink>
          </w:p>
          <w:p w14:paraId="1C9433C1" w14:textId="2F2108EC" w:rsidR="00DE1DD2" w:rsidRPr="003F1E7D" w:rsidRDefault="00DE1DD2" w:rsidP="003F1E7D">
            <w:pPr>
              <w:jc w:val="center"/>
              <w:rPr>
                <w:rFonts w:ascii="Arial" w:hAnsi="Arial" w:cs="Arial"/>
                <w:lang w:val="de-AT"/>
              </w:rPr>
            </w:pPr>
          </w:p>
        </w:tc>
      </w:tr>
    </w:tbl>
    <w:p w14:paraId="37AE6D8B" w14:textId="77777777" w:rsidR="00F132D0" w:rsidRDefault="00F132D0" w:rsidP="001514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7F40D7" w:rsidRPr="000333B1" w14:paraId="608E6BBF" w14:textId="77777777" w:rsidTr="003F1E7D">
        <w:trPr>
          <w:trHeight w:val="1544"/>
        </w:trPr>
        <w:tc>
          <w:tcPr>
            <w:tcW w:w="4531" w:type="dxa"/>
          </w:tcPr>
          <w:p w14:paraId="5448B74E" w14:textId="50B4C4EC" w:rsidR="007F40D7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bookmarkStart w:id="0" w:name="_Hlk89175597"/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F36B234" wp14:editId="1DAA6052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208280</wp:posOffset>
                  </wp:positionV>
                  <wp:extent cx="1419225" cy="947333"/>
                  <wp:effectExtent l="0" t="0" r="0" b="5715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53" cy="95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1915AA" w14:textId="3AEC3BBD" w:rsidR="00D9117D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67DA418E" w14:textId="3354A117" w:rsidR="00D9117D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33D1611D" w14:textId="77777777" w:rsidR="00D9117D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20278ECB" w14:textId="77777777" w:rsidR="00D9117D" w:rsidRPr="000333B1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04AD0A6D" w14:textId="78825396" w:rsidR="007F40D7" w:rsidRPr="000333B1" w:rsidRDefault="007F40D7" w:rsidP="00B01894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536" w:type="dxa"/>
          </w:tcPr>
          <w:p w14:paraId="7D7597F7" w14:textId="77777777" w:rsidR="007F40D7" w:rsidRPr="000333B1" w:rsidRDefault="007F40D7" w:rsidP="00B01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2353CA8E" w14:textId="0B604F91" w:rsidR="007F40D7" w:rsidRPr="000333B1" w:rsidRDefault="00C075A9" w:rsidP="00B0189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C40FD8" wp14:editId="6C521C32">
                  <wp:extent cx="1441308" cy="962025"/>
                  <wp:effectExtent l="0" t="0" r="6985" b="0"/>
                  <wp:docPr id="193304584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904" cy="97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0D7" w:rsidRPr="000333B1" w14:paraId="6C46F4A7" w14:textId="77777777" w:rsidTr="003F1E7D">
        <w:trPr>
          <w:trHeight w:val="485"/>
        </w:trPr>
        <w:tc>
          <w:tcPr>
            <w:tcW w:w="4531" w:type="dxa"/>
          </w:tcPr>
          <w:p w14:paraId="52C86723" w14:textId="2FF47DEB" w:rsidR="007F40D7" w:rsidRPr="00B25DB6" w:rsidRDefault="00AC60E9" w:rsidP="00B0189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Die Rollhacke </w:t>
            </w:r>
            <w:r w:rsidR="00CD5275">
              <w:rPr>
                <w:rFonts w:ascii="Arial" w:hAnsi="Arial"/>
                <w:sz w:val="22"/>
                <w:szCs w:val="22"/>
                <w:lang w:val="de-AT" w:eastAsia="en-US"/>
              </w:rPr>
              <w:t>ROTOCARE</w:t>
            </w:r>
            <w:r w:rsidR="00771288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</w:t>
            </w:r>
            <w:r w:rsidR="00D9117D">
              <w:rPr>
                <w:rFonts w:ascii="Arial" w:hAnsi="Arial"/>
                <w:sz w:val="22"/>
                <w:szCs w:val="22"/>
                <w:lang w:val="de-AT" w:eastAsia="en-US"/>
              </w:rPr>
              <w:t>V 6600</w:t>
            </w:r>
            <w:r w:rsidR="00771288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mit dem flexiblen Tank TEGOSEM</w:t>
            </w:r>
          </w:p>
        </w:tc>
        <w:tc>
          <w:tcPr>
            <w:tcW w:w="4536" w:type="dxa"/>
          </w:tcPr>
          <w:p w14:paraId="04A7EE2D" w14:textId="77777777" w:rsidR="007F40D7" w:rsidRDefault="00410B87" w:rsidP="00B0189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410B87">
              <w:rPr>
                <w:rFonts w:ascii="Arial" w:hAnsi="Arial"/>
                <w:sz w:val="22"/>
                <w:szCs w:val="22"/>
                <w:lang w:val="de-AT" w:eastAsia="en-US"/>
              </w:rPr>
              <w:t>Die TEGOSEM ist auf dem Hauptrahmen angebracht</w:t>
            </w:r>
          </w:p>
          <w:p w14:paraId="6D298101" w14:textId="33DF85EF" w:rsidR="00410B87" w:rsidRPr="000333B1" w:rsidRDefault="00410B87" w:rsidP="00B0189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de-AT" w:eastAsia="en-US"/>
              </w:rPr>
            </w:pPr>
          </w:p>
        </w:tc>
      </w:tr>
      <w:tr w:rsidR="007F40D7" w:rsidRPr="00B401C0" w14:paraId="1A8D1D08" w14:textId="77777777" w:rsidTr="003F1E7D">
        <w:trPr>
          <w:trHeight w:val="234"/>
        </w:trPr>
        <w:tc>
          <w:tcPr>
            <w:tcW w:w="4531" w:type="dxa"/>
          </w:tcPr>
          <w:p w14:paraId="4D009664" w14:textId="314769E9" w:rsidR="007F40D7" w:rsidRDefault="00000000" w:rsidP="00B01894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6" w:history="1">
              <w:r w:rsidR="008D31CB" w:rsidRPr="002214CF">
                <w:rPr>
                  <w:rStyle w:val="Hyperlink"/>
                  <w:rFonts w:ascii="Arial" w:eastAsia="Calibri" w:hAnsi="Arial" w:cs="Arial"/>
                  <w:lang w:eastAsia="en-US"/>
                </w:rPr>
                <w:t>https://www.poettinger.at/de_at/newsroom/pressebild/103002</w:t>
              </w:r>
            </w:hyperlink>
          </w:p>
          <w:p w14:paraId="79249D15" w14:textId="098B1CC4" w:rsidR="008D31CB" w:rsidRPr="00B401C0" w:rsidRDefault="008D31CB" w:rsidP="00B01894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4536" w:type="dxa"/>
          </w:tcPr>
          <w:p w14:paraId="44D76C0B" w14:textId="24B84344" w:rsidR="007F40D7" w:rsidRDefault="00000000" w:rsidP="00B01894">
            <w:pPr>
              <w:jc w:val="center"/>
              <w:rPr>
                <w:rFonts w:ascii="Arial" w:hAnsi="Arial" w:cs="Arial"/>
                <w:color w:val="FF0000"/>
              </w:rPr>
            </w:pPr>
            <w:hyperlink r:id="rId17" w:history="1">
              <w:r w:rsidR="00B0119B" w:rsidRPr="002214CF">
                <w:rPr>
                  <w:rStyle w:val="Hyperlink"/>
                  <w:rFonts w:ascii="Arial" w:hAnsi="Arial" w:cs="Arial"/>
                </w:rPr>
                <w:t>https://www.poettinger.at/de_at/newsroom/pressebild/103003</w:t>
              </w:r>
            </w:hyperlink>
          </w:p>
          <w:p w14:paraId="0CAB168F" w14:textId="0DBB21AD" w:rsidR="00B0119B" w:rsidRPr="00B401C0" w:rsidRDefault="00B0119B" w:rsidP="00B0189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bookmarkEnd w:id="0"/>
    <w:p w14:paraId="324113DC" w14:textId="72324C5E" w:rsidR="004A6F02" w:rsidRPr="003F1E7D" w:rsidRDefault="00766AE3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  <w:r w:rsidRPr="00A20902">
        <w:rPr>
          <w:rFonts w:ascii="Arial" w:hAnsi="Arial" w:cs="Arial"/>
          <w:snapToGrid w:val="0"/>
          <w:color w:val="000000"/>
          <w:lang w:eastAsia="de-DE"/>
        </w:rPr>
        <w:t xml:space="preserve">Weitere druckoptimierte Bilder: </w:t>
      </w:r>
      <w:hyperlink r:id="rId18" w:history="1">
        <w:r w:rsidRPr="00A20902">
          <w:rPr>
            <w:rStyle w:val="Hyperlink"/>
            <w:rFonts w:ascii="Arial" w:hAnsi="Arial" w:cs="Arial"/>
            <w:snapToGrid w:val="0"/>
            <w:lang w:eastAsia="de-DE"/>
          </w:rPr>
          <w:t>http://www.poettinger.at/presse</w:t>
        </w:r>
      </w:hyperlink>
    </w:p>
    <w:sectPr w:rsidR="004A6F02" w:rsidRPr="003F1E7D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ED35" w14:textId="77777777" w:rsidR="00CF3337" w:rsidRDefault="00CF3337" w:rsidP="004311A1">
      <w:pPr>
        <w:spacing w:after="0" w:line="240" w:lineRule="auto"/>
      </w:pPr>
      <w:r>
        <w:separator/>
      </w:r>
    </w:p>
  </w:endnote>
  <w:endnote w:type="continuationSeparator" w:id="0">
    <w:p w14:paraId="058A066A" w14:textId="77777777" w:rsidR="00CF3337" w:rsidRDefault="00CF3337" w:rsidP="0043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4B4" w14:textId="77777777" w:rsidR="004311A1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774B78C" w14:textId="4F3C842B" w:rsidR="004311A1" w:rsidRPr="00C264D7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2D6C7B">
      <w:rPr>
        <w:rFonts w:ascii="Arial" w:hAnsi="Arial" w:cs="Arial"/>
        <w:bCs/>
        <w:sz w:val="20"/>
        <w:szCs w:val="20"/>
      </w:rPr>
      <w:t>Unternehmenskommunikation</w:t>
    </w:r>
  </w:p>
  <w:p w14:paraId="33B2577E" w14:textId="77777777" w:rsidR="004311A1" w:rsidRPr="00C264D7" w:rsidRDefault="004311A1" w:rsidP="004311A1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21B2AF5C" w14:textId="5BD34A3F" w:rsidR="004311A1" w:rsidRDefault="004311A1" w:rsidP="004311A1">
    <w:pPr>
      <w:pStyle w:val="Fuzeile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  <w:r w:rsidRPr="00C264D7">
      <w:rPr>
        <w:rFonts w:ascii="Arial" w:hAnsi="Arial" w:cs="Arial"/>
        <w:sz w:val="20"/>
        <w:szCs w:val="20"/>
      </w:rPr>
      <w:tab/>
    </w:r>
    <w:r w:rsidRPr="00C264D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67D" w14:textId="77777777" w:rsidR="00CF3337" w:rsidRDefault="00CF3337" w:rsidP="004311A1">
      <w:pPr>
        <w:spacing w:after="0" w:line="240" w:lineRule="auto"/>
      </w:pPr>
      <w:r>
        <w:separator/>
      </w:r>
    </w:p>
  </w:footnote>
  <w:footnote w:type="continuationSeparator" w:id="0">
    <w:p w14:paraId="5A0D4820" w14:textId="77777777" w:rsidR="00CF3337" w:rsidRDefault="00CF3337" w:rsidP="0043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F1CF" w14:textId="61D2BBC0" w:rsidR="001F6352" w:rsidRDefault="000C4E9F">
    <w:pPr>
      <w:pStyle w:val="Kopfzeile"/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A60311" w14:textId="1122097D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sz w:val="24"/>
        <w:szCs w:val="24"/>
      </w:rPr>
      <w:t>Presse-Information</w:t>
    </w:r>
  </w:p>
  <w:p w14:paraId="10D94F97" w14:textId="77777777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  <w:p w14:paraId="3408B22E" w14:textId="77777777" w:rsidR="001F6352" w:rsidRP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1"/>
  </w:num>
  <w:num w:numId="2" w16cid:durableId="1050886229">
    <w:abstractNumId w:val="0"/>
  </w:num>
  <w:num w:numId="3" w16cid:durableId="180973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4678F"/>
    <w:rsid w:val="00051C90"/>
    <w:rsid w:val="000635D3"/>
    <w:rsid w:val="00093872"/>
    <w:rsid w:val="000938A3"/>
    <w:rsid w:val="000C4E9F"/>
    <w:rsid w:val="000C760A"/>
    <w:rsid w:val="000E5D13"/>
    <w:rsid w:val="0015146E"/>
    <w:rsid w:val="001E56D5"/>
    <w:rsid w:val="001F02A9"/>
    <w:rsid w:val="001F6352"/>
    <w:rsid w:val="002026E8"/>
    <w:rsid w:val="00234361"/>
    <w:rsid w:val="00244777"/>
    <w:rsid w:val="002D6C7B"/>
    <w:rsid w:val="003D2773"/>
    <w:rsid w:val="003F1E7D"/>
    <w:rsid w:val="004026CA"/>
    <w:rsid w:val="00410B87"/>
    <w:rsid w:val="004311A1"/>
    <w:rsid w:val="00432C24"/>
    <w:rsid w:val="00470447"/>
    <w:rsid w:val="004866AE"/>
    <w:rsid w:val="00496ED0"/>
    <w:rsid w:val="004A6F02"/>
    <w:rsid w:val="0052173B"/>
    <w:rsid w:val="0052408A"/>
    <w:rsid w:val="00533AB7"/>
    <w:rsid w:val="00542BD9"/>
    <w:rsid w:val="00554CCF"/>
    <w:rsid w:val="005C0DD9"/>
    <w:rsid w:val="005D2ACE"/>
    <w:rsid w:val="0060543B"/>
    <w:rsid w:val="00622EEF"/>
    <w:rsid w:val="006408B1"/>
    <w:rsid w:val="00683216"/>
    <w:rsid w:val="007269F6"/>
    <w:rsid w:val="00766AE3"/>
    <w:rsid w:val="00771288"/>
    <w:rsid w:val="00780B92"/>
    <w:rsid w:val="007F40D7"/>
    <w:rsid w:val="008C7810"/>
    <w:rsid w:val="008D31CB"/>
    <w:rsid w:val="00930673"/>
    <w:rsid w:val="00984FE0"/>
    <w:rsid w:val="009A1CB6"/>
    <w:rsid w:val="009C2C02"/>
    <w:rsid w:val="00A46B16"/>
    <w:rsid w:val="00A90BE0"/>
    <w:rsid w:val="00AA51CF"/>
    <w:rsid w:val="00AB5426"/>
    <w:rsid w:val="00AC60E9"/>
    <w:rsid w:val="00B0119B"/>
    <w:rsid w:val="00BA58AA"/>
    <w:rsid w:val="00BB14A2"/>
    <w:rsid w:val="00BE71B9"/>
    <w:rsid w:val="00C046A4"/>
    <w:rsid w:val="00C075A9"/>
    <w:rsid w:val="00C82AC1"/>
    <w:rsid w:val="00C9208A"/>
    <w:rsid w:val="00CD5275"/>
    <w:rsid w:val="00CF3337"/>
    <w:rsid w:val="00CF3A8F"/>
    <w:rsid w:val="00D14975"/>
    <w:rsid w:val="00D37433"/>
    <w:rsid w:val="00D85F90"/>
    <w:rsid w:val="00D9117D"/>
    <w:rsid w:val="00DD7DFB"/>
    <w:rsid w:val="00DE1DD2"/>
    <w:rsid w:val="00E02E93"/>
    <w:rsid w:val="00E36FDD"/>
    <w:rsid w:val="00EB4EC2"/>
    <w:rsid w:val="00EF7029"/>
    <w:rsid w:val="00F07839"/>
    <w:rsid w:val="00F132D0"/>
    <w:rsid w:val="00F1687B"/>
    <w:rsid w:val="00F37FD7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1A1"/>
  </w:style>
  <w:style w:type="paragraph" w:styleId="Fuzeile">
    <w:name w:val="footer"/>
    <w:basedOn w:val="Standard"/>
    <w:link w:val="Fu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1A1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1A1"/>
    <w:rPr>
      <w:sz w:val="20"/>
      <w:szCs w:val="20"/>
    </w:rPr>
  </w:style>
  <w:style w:type="table" w:styleId="Tabellenraster">
    <w:name w:val="Table Grid"/>
    <w:basedOn w:val="NormaleTabelle"/>
    <w:uiPriority w:val="39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66A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5274" TargetMode="External"/><Relationship Id="rId18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5275" TargetMode="External"/><Relationship Id="rId17" Type="http://schemas.openxmlformats.org/officeDocument/2006/relationships/hyperlink" Target="https://www.poettinger.at/de_at/newsroom/pressebild/1030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1030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DF7433CF-E097-4A40-A2B4-7F619A8C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 Felix</dc:creator>
  <cp:keywords/>
  <dc:description/>
  <cp:lastModifiedBy>Steibl Inge</cp:lastModifiedBy>
  <cp:revision>7</cp:revision>
  <cp:lastPrinted>2023-08-09T07:42:00Z</cp:lastPrinted>
  <dcterms:created xsi:type="dcterms:W3CDTF">2023-08-10T05:10:00Z</dcterms:created>
  <dcterms:modified xsi:type="dcterms:W3CDTF">2023-08-10T05:14:00Z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