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A3B70" w14:textId="7D33E2B1" w:rsidR="002F3A42" w:rsidRPr="008F485F" w:rsidRDefault="00934A37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it-IT"/>
        </w:rPr>
      </w:pPr>
      <w:r>
        <w:rPr>
          <w:rFonts w:cs="Arial"/>
          <w:color w:val="808080" w:themeColor="background1" w:themeShade="80"/>
          <w:sz w:val="32"/>
          <w:szCs w:val="32"/>
          <w:lang w:val="it-IT"/>
        </w:rPr>
        <w:t>Rapporto di gestione -</w:t>
      </w:r>
      <w:r w:rsidR="00841C80" w:rsidRPr="008F485F">
        <w:rPr>
          <w:rFonts w:cs="Arial"/>
          <w:color w:val="808080" w:themeColor="background1" w:themeShade="80"/>
          <w:sz w:val="32"/>
          <w:szCs w:val="32"/>
          <w:lang w:val="it-IT"/>
        </w:rPr>
        <w:t xml:space="preserve"> </w:t>
      </w:r>
      <w:r w:rsidR="008F485F" w:rsidRPr="008F485F">
        <w:rPr>
          <w:rFonts w:cs="Arial"/>
          <w:color w:val="808080" w:themeColor="background1" w:themeShade="80"/>
          <w:sz w:val="32"/>
          <w:szCs w:val="32"/>
          <w:lang w:val="it-IT"/>
        </w:rPr>
        <w:t>versione breve</w:t>
      </w:r>
    </w:p>
    <w:p w14:paraId="77250E3E" w14:textId="77777777" w:rsidR="008F485F" w:rsidRPr="00D8454E" w:rsidRDefault="008F485F" w:rsidP="008F485F">
      <w:pPr>
        <w:spacing w:line="360" w:lineRule="auto"/>
        <w:rPr>
          <w:rFonts w:cs="Arial"/>
          <w:sz w:val="40"/>
          <w:szCs w:val="40"/>
          <w:lang w:val="it-IT"/>
        </w:rPr>
      </w:pPr>
      <w:r w:rsidRPr="00D8454E">
        <w:rPr>
          <w:rFonts w:cs="Arial"/>
          <w:sz w:val="40"/>
          <w:szCs w:val="40"/>
          <w:lang w:val="it-IT"/>
        </w:rPr>
        <w:t>PÖTTINGER prosegue la sua crescita</w:t>
      </w:r>
    </w:p>
    <w:p w14:paraId="63A05AA8" w14:textId="77777777" w:rsidR="008F485F" w:rsidRPr="00D8454E" w:rsidRDefault="008F485F" w:rsidP="008F485F">
      <w:pPr>
        <w:spacing w:line="360" w:lineRule="auto"/>
        <w:rPr>
          <w:rFonts w:cs="Arial"/>
          <w:sz w:val="36"/>
          <w:szCs w:val="36"/>
          <w:lang w:val="it-IT"/>
        </w:rPr>
      </w:pPr>
      <w:r w:rsidRPr="00D8454E">
        <w:rPr>
          <w:rFonts w:cs="Arial"/>
          <w:sz w:val="36"/>
          <w:szCs w:val="36"/>
          <w:lang w:val="it-IT"/>
        </w:rPr>
        <w:t>Fatturato record nell’anno commerciale 2018/2019</w:t>
      </w:r>
    </w:p>
    <w:p w14:paraId="5EAE0F82" w14:textId="72995A02" w:rsidR="008F485F" w:rsidRDefault="008F485F" w:rsidP="00166CD0">
      <w:pPr>
        <w:spacing w:line="360" w:lineRule="auto"/>
        <w:jc w:val="both"/>
        <w:rPr>
          <w:rFonts w:cs="Arial"/>
          <w:sz w:val="24"/>
          <w:lang w:val="it-IT"/>
        </w:rPr>
      </w:pPr>
      <w:r w:rsidRPr="00D8454E">
        <w:rPr>
          <w:rFonts w:cs="Arial"/>
          <w:sz w:val="24"/>
          <w:lang w:val="it-IT"/>
        </w:rPr>
        <w:t>Nell'anno commerciale 2018/2019 l’azienda austriaca a conduzione familiare PÖTTINGER ha fatto registrare</w:t>
      </w:r>
      <w:r>
        <w:rPr>
          <w:rFonts w:cs="Arial"/>
          <w:sz w:val="24"/>
          <w:lang w:val="it-IT"/>
        </w:rPr>
        <w:t xml:space="preserve"> </w:t>
      </w:r>
      <w:r w:rsidRPr="00D8454E">
        <w:rPr>
          <w:rFonts w:cs="Arial"/>
          <w:sz w:val="24"/>
          <w:lang w:val="it-IT"/>
        </w:rPr>
        <w:t>un nuovo fatturato record di 382 milioni di Euro</w:t>
      </w:r>
      <w:r>
        <w:rPr>
          <w:rFonts w:cs="Arial"/>
          <w:sz w:val="24"/>
          <w:lang w:val="it-IT"/>
        </w:rPr>
        <w:t xml:space="preserve">, </w:t>
      </w:r>
      <w:r w:rsidRPr="00D8454E">
        <w:rPr>
          <w:rFonts w:cs="Arial"/>
          <w:sz w:val="24"/>
          <w:lang w:val="it-IT"/>
        </w:rPr>
        <w:t>con una crescita dell’8%.</w:t>
      </w:r>
      <w:r>
        <w:rPr>
          <w:rFonts w:cs="Arial"/>
          <w:sz w:val="24"/>
          <w:lang w:val="it-IT"/>
        </w:rPr>
        <w:t xml:space="preserve"> Oltre ai suoi </w:t>
      </w:r>
      <w:r w:rsidRPr="00D8454E">
        <w:rPr>
          <w:rFonts w:cs="Arial"/>
          <w:sz w:val="24"/>
          <w:lang w:val="it-IT"/>
        </w:rPr>
        <w:t xml:space="preserve">1.892 dipendenti </w:t>
      </w:r>
      <w:r>
        <w:rPr>
          <w:rFonts w:cs="Arial"/>
          <w:sz w:val="24"/>
          <w:lang w:val="it-IT"/>
        </w:rPr>
        <w:t xml:space="preserve">complessivi </w:t>
      </w:r>
      <w:r w:rsidRPr="00D8454E">
        <w:rPr>
          <w:rFonts w:cs="Arial"/>
          <w:sz w:val="24"/>
          <w:lang w:val="it-IT"/>
        </w:rPr>
        <w:t>hanno</w:t>
      </w:r>
      <w:r>
        <w:rPr>
          <w:rFonts w:cs="Arial"/>
          <w:sz w:val="24"/>
          <w:lang w:val="it-IT"/>
        </w:rPr>
        <w:t xml:space="preserve"> contribuito a questo successo l’innovativa gamma di prodotti, l’orientamento ai mercati internazionali e i notevoli investimenti nelle sedi di produzione, nonché il nuovo Centro logistico di pezzi di ricambio.</w:t>
      </w:r>
    </w:p>
    <w:p w14:paraId="6335A927" w14:textId="77777777" w:rsidR="00F40301" w:rsidRPr="008F485F" w:rsidRDefault="00F40301" w:rsidP="003B5F5B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2D40A9C4" w14:textId="77777777" w:rsidR="008F485F" w:rsidRPr="00953371" w:rsidRDefault="008F485F" w:rsidP="008F485F">
      <w:pPr>
        <w:spacing w:line="360" w:lineRule="auto"/>
        <w:jc w:val="both"/>
        <w:rPr>
          <w:rFonts w:cs="Arial"/>
          <w:iCs/>
          <w:sz w:val="28"/>
          <w:szCs w:val="28"/>
          <w:lang w:val="it-IT"/>
        </w:rPr>
      </w:pPr>
      <w:bookmarkStart w:id="0" w:name="_Hlk18408985"/>
      <w:r w:rsidRPr="00953371">
        <w:rPr>
          <w:rFonts w:cs="Arial"/>
          <w:iCs/>
          <w:sz w:val="28"/>
          <w:szCs w:val="28"/>
          <w:lang w:val="it-IT"/>
        </w:rPr>
        <w:t>Notevole crescita in tutti i segmenti</w:t>
      </w:r>
    </w:p>
    <w:p w14:paraId="234CE69E" w14:textId="77777777" w:rsidR="004F54E6" w:rsidRDefault="004F54E6" w:rsidP="005F340C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953371">
        <w:rPr>
          <w:rFonts w:cs="Arial"/>
          <w:iCs/>
          <w:sz w:val="24"/>
          <w:szCs w:val="22"/>
          <w:lang w:val="it-IT"/>
        </w:rPr>
        <w:t xml:space="preserve">La foraggicoltura è la regina del fatturato con quasi il </w:t>
      </w:r>
      <w:r w:rsidRPr="006E581D">
        <w:rPr>
          <w:rFonts w:cs="Arial"/>
          <w:iCs/>
          <w:sz w:val="24"/>
          <w:szCs w:val="22"/>
          <w:lang w:val="it-IT"/>
        </w:rPr>
        <w:t>69%,</w:t>
      </w:r>
      <w:r w:rsidRPr="00953371">
        <w:rPr>
          <w:rFonts w:cs="Arial"/>
          <w:iCs/>
          <w:sz w:val="24"/>
          <w:szCs w:val="22"/>
          <w:lang w:val="it-IT"/>
        </w:rPr>
        <w:t xml:space="preserve"> seguita dalla lavorazione del terreno e della semina con il </w:t>
      </w:r>
      <w:r w:rsidRPr="006E581D">
        <w:rPr>
          <w:rFonts w:cs="Arial"/>
          <w:iCs/>
          <w:sz w:val="24"/>
          <w:szCs w:val="22"/>
          <w:lang w:val="it-IT"/>
        </w:rPr>
        <w:t>31%</w:t>
      </w:r>
      <w:r w:rsidRPr="00953371">
        <w:rPr>
          <w:rFonts w:cs="Arial"/>
          <w:iCs/>
          <w:sz w:val="24"/>
          <w:szCs w:val="22"/>
          <w:lang w:val="it-IT"/>
        </w:rPr>
        <w:t xml:space="preserve"> circa. </w:t>
      </w:r>
      <w:r>
        <w:rPr>
          <w:rFonts w:cs="Arial"/>
          <w:iCs/>
          <w:sz w:val="24"/>
          <w:szCs w:val="22"/>
          <w:lang w:val="it-IT"/>
        </w:rPr>
        <w:t xml:space="preserve">Rispetto all’anno passato la </w:t>
      </w:r>
      <w:r w:rsidRPr="00953371">
        <w:rPr>
          <w:rFonts w:cs="Arial"/>
          <w:iCs/>
          <w:sz w:val="24"/>
          <w:szCs w:val="22"/>
          <w:lang w:val="it-IT"/>
        </w:rPr>
        <w:t>foraggicoltura</w:t>
      </w:r>
      <w:r>
        <w:rPr>
          <w:rFonts w:cs="Arial"/>
          <w:iCs/>
          <w:sz w:val="24"/>
          <w:szCs w:val="22"/>
          <w:lang w:val="it-IT"/>
        </w:rPr>
        <w:t xml:space="preserve"> ha fatto registrare un incremento del fatturato del 9%. Nella </w:t>
      </w:r>
      <w:r w:rsidRPr="00953371">
        <w:rPr>
          <w:rFonts w:cs="Arial"/>
          <w:iCs/>
          <w:sz w:val="24"/>
          <w:szCs w:val="22"/>
          <w:lang w:val="it-IT"/>
        </w:rPr>
        <w:t xml:space="preserve">lavorazione del terreno e </w:t>
      </w:r>
      <w:r>
        <w:rPr>
          <w:rFonts w:cs="Arial"/>
          <w:iCs/>
          <w:sz w:val="24"/>
          <w:szCs w:val="22"/>
          <w:lang w:val="it-IT"/>
        </w:rPr>
        <w:t>n</w:t>
      </w:r>
      <w:r w:rsidRPr="00953371">
        <w:rPr>
          <w:rFonts w:cs="Arial"/>
          <w:iCs/>
          <w:sz w:val="24"/>
          <w:szCs w:val="22"/>
          <w:lang w:val="it-IT"/>
        </w:rPr>
        <w:t>ella semina</w:t>
      </w:r>
      <w:r>
        <w:rPr>
          <w:rFonts w:cs="Arial"/>
          <w:iCs/>
          <w:sz w:val="24"/>
          <w:szCs w:val="22"/>
          <w:lang w:val="it-IT"/>
        </w:rPr>
        <w:t xml:space="preserve"> l’aumento è stato del 5%. Il </w:t>
      </w:r>
      <w:r>
        <w:rPr>
          <w:rFonts w:cs="Arial"/>
          <w:sz w:val="24"/>
          <w:lang w:val="it-IT"/>
        </w:rPr>
        <w:t xml:space="preserve">Centro logistico di pezzi di ricambio inaugurato nel 2018 è già riuscito a dare i suoi frutti. La crescita </w:t>
      </w:r>
      <w:r w:rsidRPr="00953371">
        <w:rPr>
          <w:rFonts w:cs="Arial"/>
          <w:iCs/>
          <w:sz w:val="24"/>
          <w:szCs w:val="22"/>
          <w:lang w:val="it-IT"/>
        </w:rPr>
        <w:t xml:space="preserve">nella vendita dei pezzi di ricambio è stata </w:t>
      </w:r>
      <w:r>
        <w:rPr>
          <w:rFonts w:cs="Arial"/>
          <w:iCs/>
          <w:sz w:val="24"/>
          <w:szCs w:val="22"/>
          <w:lang w:val="it-IT"/>
        </w:rPr>
        <w:t>simile a quella registrata per le macchine.</w:t>
      </w:r>
      <w:bookmarkEnd w:id="0"/>
    </w:p>
    <w:p w14:paraId="75DF2D04" w14:textId="77777777" w:rsidR="004F54E6" w:rsidRDefault="004F54E6" w:rsidP="005F340C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42D64F59" w14:textId="5B8E70A1" w:rsidR="00105362" w:rsidRPr="004F54E6" w:rsidRDefault="00657F50" w:rsidP="005F340C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8F485F">
        <w:rPr>
          <w:rFonts w:cs="Arial"/>
          <w:iCs/>
          <w:sz w:val="28"/>
          <w:szCs w:val="28"/>
          <w:lang w:val="it-IT"/>
        </w:rPr>
        <w:t>PÖTTINGER</w:t>
      </w:r>
      <w:r w:rsidR="00132418" w:rsidRPr="008F485F">
        <w:rPr>
          <w:rFonts w:cs="Arial"/>
          <w:iCs/>
          <w:sz w:val="28"/>
          <w:szCs w:val="28"/>
          <w:lang w:val="it-IT"/>
        </w:rPr>
        <w:t xml:space="preserve">: </w:t>
      </w:r>
      <w:r w:rsidR="004F54E6" w:rsidRPr="0041506A">
        <w:rPr>
          <w:rFonts w:cs="Arial"/>
          <w:iCs/>
          <w:sz w:val="28"/>
          <w:szCs w:val="28"/>
          <w:lang w:val="it-IT"/>
        </w:rPr>
        <w:t>continua crescita internazionale</w:t>
      </w:r>
    </w:p>
    <w:p w14:paraId="19D40D21" w14:textId="084757F2" w:rsidR="00303130" w:rsidRDefault="00303130" w:rsidP="00303130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D8454E">
        <w:rPr>
          <w:rFonts w:cs="Arial"/>
          <w:sz w:val="24"/>
          <w:lang w:val="it-IT"/>
        </w:rPr>
        <w:t>PÖTTINGER</w:t>
      </w:r>
      <w:r>
        <w:rPr>
          <w:rFonts w:cs="Arial"/>
          <w:sz w:val="24"/>
          <w:lang w:val="it-IT"/>
        </w:rPr>
        <w:t xml:space="preserve"> è riuscita nuovamente ad incrementare il proprio fatturato su molti importanti mercati internazionali nonostante le condizioni fluttuanti e l</w:t>
      </w:r>
      <w:r w:rsidR="00934A37">
        <w:rPr>
          <w:rFonts w:cs="Arial"/>
          <w:sz w:val="24"/>
          <w:lang w:val="it-IT"/>
        </w:rPr>
        <w:t xml:space="preserve">’indebolimento della richiesta </w:t>
      </w:r>
      <w:r>
        <w:rPr>
          <w:rFonts w:cs="Arial"/>
          <w:sz w:val="24"/>
          <w:lang w:val="it-IT"/>
        </w:rPr>
        <w:t xml:space="preserve">di base del mercato. </w:t>
      </w:r>
      <w:r>
        <w:rPr>
          <w:rFonts w:cs="Arial"/>
          <w:iCs/>
          <w:sz w:val="24"/>
          <w:szCs w:val="22"/>
          <w:lang w:val="it-IT"/>
        </w:rPr>
        <w:t>La</w:t>
      </w:r>
      <w:r w:rsidRPr="00953371">
        <w:rPr>
          <w:rFonts w:cs="Arial"/>
          <w:iCs/>
          <w:sz w:val="24"/>
          <w:szCs w:val="22"/>
          <w:lang w:val="it-IT"/>
        </w:rPr>
        <w:t xml:space="preserve"> quota di esportazione </w:t>
      </w:r>
      <w:r>
        <w:rPr>
          <w:rFonts w:cs="Arial"/>
          <w:iCs/>
          <w:sz w:val="24"/>
          <w:szCs w:val="22"/>
          <w:lang w:val="it-IT"/>
        </w:rPr>
        <w:t>del</w:t>
      </w:r>
      <w:r w:rsidRPr="00F43B19">
        <w:rPr>
          <w:rFonts w:cs="Arial"/>
          <w:iCs/>
          <w:sz w:val="24"/>
          <w:szCs w:val="22"/>
          <w:lang w:val="it-IT"/>
        </w:rPr>
        <w:t xml:space="preserve"> 90%</w:t>
      </w:r>
      <w:r>
        <w:rPr>
          <w:rFonts w:cs="Arial"/>
          <w:iCs/>
          <w:sz w:val="24"/>
          <w:szCs w:val="22"/>
          <w:lang w:val="it-IT"/>
        </w:rPr>
        <w:t xml:space="preserve"> dimostra chiaramente la competitività del costruttore di macchine agricole austriaco.</w:t>
      </w:r>
    </w:p>
    <w:p w14:paraId="0F1F27F8" w14:textId="1A9D2653" w:rsidR="00303130" w:rsidRDefault="00303130" w:rsidP="005F340C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19C91A90" w14:textId="77777777" w:rsidR="00303130" w:rsidRDefault="00303130" w:rsidP="00303130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>
        <w:rPr>
          <w:rFonts w:cs="Arial"/>
          <w:iCs/>
          <w:sz w:val="24"/>
          <w:szCs w:val="22"/>
          <w:lang w:val="it-IT"/>
        </w:rPr>
        <w:t>Più del</w:t>
      </w:r>
      <w:r w:rsidRPr="00953371">
        <w:rPr>
          <w:rFonts w:cs="Arial"/>
          <w:iCs/>
          <w:sz w:val="24"/>
          <w:szCs w:val="22"/>
          <w:lang w:val="it-IT"/>
        </w:rPr>
        <w:t xml:space="preserve"> </w:t>
      </w:r>
      <w:r w:rsidRPr="00F43B19">
        <w:rPr>
          <w:rFonts w:cs="Arial"/>
          <w:iCs/>
          <w:sz w:val="24"/>
          <w:szCs w:val="22"/>
          <w:lang w:val="it-IT"/>
        </w:rPr>
        <w:t>60%</w:t>
      </w:r>
      <w:r w:rsidRPr="00953371">
        <w:rPr>
          <w:rFonts w:cs="Arial"/>
          <w:iCs/>
          <w:sz w:val="24"/>
          <w:szCs w:val="22"/>
          <w:lang w:val="it-IT"/>
        </w:rPr>
        <w:t xml:space="preserve"> del fatturato complessivo è stato raggiunto in Germania, Francia, Austria, Polonia, Repubblica Ceca</w:t>
      </w:r>
      <w:r>
        <w:rPr>
          <w:rFonts w:cs="Arial"/>
          <w:iCs/>
          <w:sz w:val="24"/>
          <w:szCs w:val="22"/>
          <w:lang w:val="it-IT"/>
        </w:rPr>
        <w:t xml:space="preserve"> e </w:t>
      </w:r>
      <w:r w:rsidRPr="00953371">
        <w:rPr>
          <w:rFonts w:cs="Arial"/>
          <w:iCs/>
          <w:sz w:val="24"/>
          <w:szCs w:val="22"/>
          <w:lang w:val="it-IT"/>
        </w:rPr>
        <w:t>Svizzera.</w:t>
      </w:r>
      <w:r>
        <w:rPr>
          <w:rFonts w:cs="Arial"/>
          <w:iCs/>
          <w:sz w:val="24"/>
          <w:szCs w:val="22"/>
          <w:lang w:val="it-IT"/>
        </w:rPr>
        <w:t xml:space="preserve"> Ancora una volta la</w:t>
      </w:r>
      <w:r w:rsidRPr="00953371">
        <w:rPr>
          <w:rFonts w:cs="Arial"/>
          <w:iCs/>
          <w:sz w:val="24"/>
          <w:szCs w:val="22"/>
          <w:lang w:val="it-IT"/>
        </w:rPr>
        <w:t xml:space="preserve"> Germania con </w:t>
      </w:r>
      <w:r w:rsidRPr="00784CE9">
        <w:rPr>
          <w:rFonts w:cs="Arial"/>
          <w:iCs/>
          <w:sz w:val="24"/>
          <w:szCs w:val="22"/>
          <w:lang w:val="it-IT"/>
        </w:rPr>
        <w:t xml:space="preserve">ca. il 20% </w:t>
      </w:r>
      <w:r w:rsidRPr="00953371">
        <w:rPr>
          <w:rFonts w:cs="Arial"/>
          <w:iCs/>
          <w:sz w:val="24"/>
          <w:szCs w:val="22"/>
          <w:lang w:val="it-IT"/>
        </w:rPr>
        <w:t xml:space="preserve">e la Francia con il </w:t>
      </w:r>
      <w:r w:rsidRPr="00784CE9">
        <w:rPr>
          <w:rFonts w:cs="Arial"/>
          <w:iCs/>
          <w:sz w:val="24"/>
          <w:szCs w:val="22"/>
          <w:lang w:val="it-IT"/>
        </w:rPr>
        <w:t>16%</w:t>
      </w:r>
      <w:r w:rsidRPr="00953371">
        <w:rPr>
          <w:rFonts w:cs="Arial"/>
          <w:iCs/>
          <w:color w:val="FF00FF"/>
          <w:sz w:val="24"/>
          <w:szCs w:val="22"/>
          <w:lang w:val="it-IT"/>
        </w:rPr>
        <w:t xml:space="preserve"> </w:t>
      </w:r>
      <w:r w:rsidRPr="00953371">
        <w:rPr>
          <w:rFonts w:cs="Arial"/>
          <w:iCs/>
          <w:sz w:val="24"/>
          <w:szCs w:val="22"/>
          <w:lang w:val="it-IT"/>
        </w:rPr>
        <w:t>del fatturato complessivo rappresentano i maggiori e più importanti mercati.</w:t>
      </w:r>
      <w:r>
        <w:rPr>
          <w:rFonts w:cs="Arial"/>
          <w:iCs/>
          <w:sz w:val="24"/>
          <w:szCs w:val="22"/>
          <w:lang w:val="it-IT"/>
        </w:rPr>
        <w:t xml:space="preserve"> </w:t>
      </w:r>
      <w:r w:rsidRPr="00953371">
        <w:rPr>
          <w:rFonts w:cs="Arial"/>
          <w:iCs/>
          <w:sz w:val="24"/>
          <w:szCs w:val="22"/>
          <w:lang w:val="it-IT"/>
        </w:rPr>
        <w:t>Fortunatamente nell'anno passato in entrambi i mercati sono state raggiunte notevoli crescite.</w:t>
      </w:r>
      <w:r>
        <w:rPr>
          <w:rFonts w:cs="Arial"/>
          <w:iCs/>
          <w:sz w:val="24"/>
          <w:szCs w:val="22"/>
          <w:lang w:val="it-IT"/>
        </w:rPr>
        <w:t xml:space="preserve"> In Francia, nell’anno dell’anniversario dei “20 anni di </w:t>
      </w:r>
      <w:r w:rsidRPr="00D8454E">
        <w:rPr>
          <w:rFonts w:cs="Arial"/>
          <w:iCs/>
          <w:sz w:val="24"/>
          <w:szCs w:val="22"/>
          <w:lang w:val="it-IT"/>
        </w:rPr>
        <w:lastRenderedPageBreak/>
        <w:t>PÖTTINGER France</w:t>
      </w:r>
      <w:r>
        <w:rPr>
          <w:rFonts w:cs="Arial"/>
          <w:iCs/>
          <w:sz w:val="24"/>
          <w:szCs w:val="22"/>
          <w:lang w:val="it-IT"/>
        </w:rPr>
        <w:t>” il fatturato è cresciuto di circa il 20% rispetto all’anno precedente.</w:t>
      </w:r>
    </w:p>
    <w:p w14:paraId="60836AA2" w14:textId="7DD80AC3" w:rsidR="00467385" w:rsidRPr="008F485F" w:rsidRDefault="00303130" w:rsidP="00BF1549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953371">
        <w:rPr>
          <w:rFonts w:cs="Arial"/>
          <w:iCs/>
          <w:sz w:val="24"/>
          <w:szCs w:val="22"/>
          <w:lang w:val="it-IT"/>
        </w:rPr>
        <w:t xml:space="preserve">Con circa </w:t>
      </w:r>
      <w:r w:rsidRPr="00784CE9">
        <w:rPr>
          <w:rFonts w:cs="Arial"/>
          <w:iCs/>
          <w:sz w:val="24"/>
          <w:szCs w:val="22"/>
          <w:lang w:val="it-IT"/>
        </w:rPr>
        <w:t>il 10%</w:t>
      </w:r>
      <w:r w:rsidRPr="00953371">
        <w:rPr>
          <w:rFonts w:cs="Arial"/>
          <w:iCs/>
          <w:color w:val="FF00FF"/>
          <w:sz w:val="24"/>
          <w:szCs w:val="22"/>
          <w:lang w:val="it-IT"/>
        </w:rPr>
        <w:t xml:space="preserve"> </w:t>
      </w:r>
      <w:r w:rsidRPr="00953371">
        <w:rPr>
          <w:rFonts w:cs="Arial"/>
          <w:iCs/>
          <w:sz w:val="24"/>
          <w:szCs w:val="22"/>
          <w:lang w:val="it-IT"/>
        </w:rPr>
        <w:t xml:space="preserve">del fatturato complessivo l'Austria </w:t>
      </w:r>
      <w:r>
        <w:rPr>
          <w:rFonts w:cs="Arial"/>
          <w:iCs/>
          <w:sz w:val="24"/>
          <w:szCs w:val="22"/>
          <w:lang w:val="it-IT"/>
        </w:rPr>
        <w:t>continua a rappresentare</w:t>
      </w:r>
      <w:r w:rsidRPr="00C844EE">
        <w:rPr>
          <w:rFonts w:cs="Arial"/>
          <w:iCs/>
          <w:sz w:val="24"/>
          <w:szCs w:val="22"/>
          <w:lang w:val="it-IT"/>
        </w:rPr>
        <w:t xml:space="preserve"> </w:t>
      </w:r>
      <w:r w:rsidRPr="00953371">
        <w:rPr>
          <w:rFonts w:cs="Arial"/>
          <w:iCs/>
          <w:sz w:val="24"/>
          <w:szCs w:val="22"/>
          <w:lang w:val="it-IT"/>
        </w:rPr>
        <w:t>uno dei mercati più forti</w:t>
      </w:r>
      <w:r>
        <w:rPr>
          <w:rFonts w:cs="Arial"/>
          <w:iCs/>
          <w:sz w:val="24"/>
          <w:szCs w:val="22"/>
          <w:lang w:val="it-IT"/>
        </w:rPr>
        <w:t xml:space="preserve"> assieme a </w:t>
      </w:r>
      <w:r w:rsidRPr="00953371">
        <w:rPr>
          <w:rFonts w:cs="Arial"/>
          <w:iCs/>
          <w:sz w:val="24"/>
          <w:szCs w:val="22"/>
          <w:lang w:val="it-IT"/>
        </w:rPr>
        <w:t>Germania</w:t>
      </w:r>
      <w:r>
        <w:rPr>
          <w:rFonts w:cs="Arial"/>
          <w:iCs/>
          <w:sz w:val="24"/>
          <w:szCs w:val="22"/>
          <w:lang w:val="it-IT"/>
        </w:rPr>
        <w:t xml:space="preserve"> e </w:t>
      </w:r>
      <w:r w:rsidRPr="00953371">
        <w:rPr>
          <w:rFonts w:cs="Arial"/>
          <w:iCs/>
          <w:sz w:val="24"/>
          <w:szCs w:val="22"/>
          <w:lang w:val="it-IT"/>
        </w:rPr>
        <w:t>Francia</w:t>
      </w:r>
      <w:r>
        <w:rPr>
          <w:rFonts w:cs="Arial"/>
          <w:iCs/>
          <w:sz w:val="24"/>
          <w:szCs w:val="22"/>
          <w:lang w:val="it-IT"/>
        </w:rPr>
        <w:t xml:space="preserve">. Rispetto all’anno scorso il fatturato è cresciuto notevolmente anche sul mercato </w:t>
      </w:r>
      <w:r w:rsidRPr="00953371">
        <w:rPr>
          <w:rFonts w:cs="Arial"/>
          <w:iCs/>
          <w:sz w:val="24"/>
          <w:szCs w:val="22"/>
          <w:lang w:val="it-IT"/>
        </w:rPr>
        <w:t>di casa</w:t>
      </w:r>
      <w:r>
        <w:rPr>
          <w:rFonts w:cs="Arial"/>
          <w:iCs/>
          <w:sz w:val="24"/>
          <w:szCs w:val="22"/>
          <w:lang w:val="it-IT"/>
        </w:rPr>
        <w:t>.</w:t>
      </w:r>
    </w:p>
    <w:p w14:paraId="5BE00A41" w14:textId="0089D602" w:rsidR="00B50658" w:rsidRPr="008F485F" w:rsidRDefault="00303130" w:rsidP="00B50658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  <w:r w:rsidRPr="00953371">
        <w:rPr>
          <w:rFonts w:cs="Arial"/>
          <w:iCs/>
          <w:sz w:val="24"/>
          <w:szCs w:val="22"/>
          <w:lang w:val="it-IT"/>
        </w:rPr>
        <w:t xml:space="preserve">Con crescite eccezionali nelle vendite, </w:t>
      </w:r>
      <w:r>
        <w:rPr>
          <w:rFonts w:cs="Arial"/>
          <w:iCs/>
          <w:sz w:val="24"/>
          <w:szCs w:val="22"/>
          <w:lang w:val="it-IT"/>
        </w:rPr>
        <w:t>Svezia, Repubblica Ceca ed Italia</w:t>
      </w:r>
      <w:r w:rsidRPr="00953371">
        <w:rPr>
          <w:rFonts w:cs="Arial"/>
          <w:iCs/>
          <w:sz w:val="24"/>
          <w:szCs w:val="22"/>
          <w:lang w:val="it-IT"/>
        </w:rPr>
        <w:t xml:space="preserve"> hanno superato di gran lunga le aspettative.</w:t>
      </w:r>
      <w:r>
        <w:rPr>
          <w:rFonts w:cs="Arial"/>
          <w:iCs/>
          <w:sz w:val="24"/>
          <w:szCs w:val="22"/>
          <w:lang w:val="it-IT"/>
        </w:rPr>
        <w:t xml:space="preserve"> La controllata </w:t>
      </w:r>
      <w:r w:rsidRPr="00953371">
        <w:rPr>
          <w:rFonts w:cs="Arial"/>
          <w:iCs/>
          <w:sz w:val="24"/>
          <w:szCs w:val="22"/>
          <w:lang w:val="it-IT"/>
        </w:rPr>
        <w:t>PÖTTINGER Scandinavia</w:t>
      </w:r>
      <w:r>
        <w:rPr>
          <w:rFonts w:cs="Arial"/>
          <w:iCs/>
          <w:sz w:val="24"/>
          <w:szCs w:val="22"/>
          <w:lang w:val="it-IT"/>
        </w:rPr>
        <w:t xml:space="preserve">, fondata nel 2016, ha contribuito notevolmente all’impressionante crescita aziendale nell’Europa del Nord (Svezia e Norvegia con rispettivamente </w:t>
      </w:r>
      <w:r w:rsidRPr="00D8454E">
        <w:rPr>
          <w:rFonts w:cs="Arial"/>
          <w:iCs/>
          <w:sz w:val="24"/>
          <w:szCs w:val="22"/>
          <w:lang w:val="it-IT"/>
        </w:rPr>
        <w:t>+ 37</w:t>
      </w:r>
      <w:r>
        <w:rPr>
          <w:rFonts w:cs="Arial"/>
          <w:iCs/>
          <w:sz w:val="24"/>
          <w:szCs w:val="22"/>
          <w:lang w:val="it-IT"/>
        </w:rPr>
        <w:t>%, Danimarca + 15% e Finlandia con addirittura + 85%).</w:t>
      </w:r>
    </w:p>
    <w:p w14:paraId="3CF6485D" w14:textId="77777777" w:rsidR="008C68D8" w:rsidRPr="008F485F" w:rsidRDefault="008C68D8" w:rsidP="005F340C">
      <w:pPr>
        <w:spacing w:line="360" w:lineRule="auto"/>
        <w:jc w:val="both"/>
        <w:rPr>
          <w:rFonts w:cs="Arial"/>
          <w:iCs/>
          <w:sz w:val="24"/>
          <w:szCs w:val="22"/>
          <w:lang w:val="it-IT"/>
        </w:rPr>
      </w:pPr>
    </w:p>
    <w:p w14:paraId="6322A5CD" w14:textId="77777777" w:rsidR="00303130" w:rsidRPr="00D8454E" w:rsidRDefault="00303130" w:rsidP="00303130">
      <w:pPr>
        <w:spacing w:line="360" w:lineRule="auto"/>
        <w:jc w:val="both"/>
        <w:rPr>
          <w:rFonts w:cs="Arial"/>
          <w:iCs/>
          <w:sz w:val="28"/>
          <w:szCs w:val="28"/>
          <w:lang w:val="it-IT"/>
        </w:rPr>
      </w:pPr>
      <w:r>
        <w:rPr>
          <w:rFonts w:cs="Arial"/>
          <w:iCs/>
          <w:sz w:val="28"/>
          <w:szCs w:val="28"/>
          <w:lang w:val="it-IT"/>
        </w:rPr>
        <w:t>La nostra visione</w:t>
      </w:r>
      <w:r w:rsidRPr="00D8454E">
        <w:rPr>
          <w:rFonts w:cs="Arial"/>
          <w:iCs/>
          <w:sz w:val="28"/>
          <w:szCs w:val="28"/>
          <w:lang w:val="it-IT"/>
        </w:rPr>
        <w:t xml:space="preserve"> </w:t>
      </w:r>
    </w:p>
    <w:p w14:paraId="52620CAD" w14:textId="26468490" w:rsidR="00BC1770" w:rsidRPr="008F485F" w:rsidRDefault="00303130" w:rsidP="00FB5247">
      <w:pPr>
        <w:spacing w:line="360" w:lineRule="auto"/>
        <w:jc w:val="both"/>
        <w:rPr>
          <w:rFonts w:cs="Arial"/>
          <w:iCs/>
          <w:sz w:val="24"/>
          <w:lang w:val="it-IT"/>
        </w:rPr>
      </w:pPr>
      <w:r>
        <w:rPr>
          <w:rFonts w:cs="Arial"/>
          <w:iCs/>
          <w:sz w:val="24"/>
          <w:lang w:val="it-IT"/>
        </w:rPr>
        <w:t xml:space="preserve">“Come azienda a conduzione familiare ci siamo posti l’obbiettivo di rendere migliori le aziende agricole, di semplificarne il lavoro e di incrementarne a qualità dei prodotti. Perciò garantiamo un eccezionale risultato di lavoro con un grado ottimale di rendimento. Noi viviamo il </w:t>
      </w:r>
      <w:r w:rsidRPr="0057158E">
        <w:rPr>
          <w:rFonts w:cs="Arial"/>
          <w:noProof/>
          <w:sz w:val="24"/>
          <w:lang w:val="it-IT" w:eastAsia="de-DE"/>
        </w:rPr>
        <w:t>settore delle macchine agricole</w:t>
      </w:r>
      <w:r w:rsidRPr="008A315C">
        <w:rPr>
          <w:rFonts w:cs="Arial"/>
          <w:i/>
          <w:noProof/>
          <w:sz w:val="24"/>
          <w:lang w:val="it-IT" w:eastAsia="de-DE"/>
        </w:rPr>
        <w:t xml:space="preserve"> </w:t>
      </w:r>
      <w:r>
        <w:rPr>
          <w:rFonts w:cs="Arial"/>
          <w:iCs/>
          <w:sz w:val="24"/>
          <w:lang w:val="it-IT"/>
        </w:rPr>
        <w:t xml:space="preserve">in tutte le sue sfaccettature. </w:t>
      </w:r>
      <w:r>
        <w:rPr>
          <w:rFonts w:cs="Arial"/>
          <w:noProof/>
          <w:sz w:val="24"/>
          <w:lang w:val="it-IT" w:eastAsia="de-DE"/>
        </w:rPr>
        <w:t>I</w:t>
      </w:r>
      <w:r w:rsidRPr="0057158E">
        <w:rPr>
          <w:rFonts w:cs="Arial"/>
          <w:noProof/>
          <w:sz w:val="24"/>
          <w:lang w:val="it-IT" w:eastAsia="de-DE"/>
        </w:rPr>
        <w:t>nsieme al nostro forte e motivato team di collaboratori ed all'affidabile collaborazione con i nostri clienti</w:t>
      </w:r>
      <w:r>
        <w:rPr>
          <w:rFonts w:cs="Arial"/>
          <w:noProof/>
          <w:sz w:val="24"/>
          <w:lang w:val="it-IT" w:eastAsia="de-DE"/>
        </w:rPr>
        <w:t>, ma anche grazie alle nostre innovative</w:t>
      </w:r>
      <w:r w:rsidRPr="0057158E">
        <w:rPr>
          <w:rFonts w:cs="Arial"/>
          <w:noProof/>
          <w:sz w:val="24"/>
          <w:lang w:val="it-IT" w:eastAsia="de-DE"/>
        </w:rPr>
        <w:t xml:space="preserve"> </w:t>
      </w:r>
      <w:r>
        <w:rPr>
          <w:rFonts w:cs="Arial"/>
          <w:noProof/>
          <w:sz w:val="24"/>
          <w:lang w:val="it-IT" w:eastAsia="de-DE"/>
        </w:rPr>
        <w:t xml:space="preserve">macchine ed ai servizi che forniamo </w:t>
      </w:r>
      <w:r w:rsidRPr="0057158E">
        <w:rPr>
          <w:rFonts w:cs="Arial"/>
          <w:noProof/>
          <w:sz w:val="24"/>
          <w:lang w:val="it-IT" w:eastAsia="de-DE"/>
        </w:rPr>
        <w:t>siamo perfettamente attrezzati per un'ulteriore crescita</w:t>
      </w:r>
      <w:r>
        <w:rPr>
          <w:rFonts w:cs="Arial"/>
          <w:noProof/>
          <w:sz w:val="24"/>
          <w:lang w:val="it-IT" w:eastAsia="de-DE"/>
        </w:rPr>
        <w:t xml:space="preserve"> futura</w:t>
      </w:r>
      <w:r w:rsidRPr="0057158E">
        <w:rPr>
          <w:rFonts w:cs="Arial"/>
          <w:noProof/>
          <w:sz w:val="24"/>
          <w:lang w:val="it-IT" w:eastAsia="de-DE"/>
        </w:rPr>
        <w:t>",</w:t>
      </w:r>
      <w:r>
        <w:rPr>
          <w:rFonts w:cs="Arial"/>
          <w:noProof/>
          <w:sz w:val="24"/>
          <w:lang w:val="it-IT" w:eastAsia="de-DE"/>
        </w:rPr>
        <w:t xml:space="preserve"> </w:t>
      </w:r>
      <w:r w:rsidRPr="008A315C">
        <w:rPr>
          <w:rFonts w:cs="Arial"/>
          <w:iCs/>
          <w:sz w:val="24"/>
          <w:szCs w:val="22"/>
          <w:lang w:val="it-IT"/>
        </w:rPr>
        <w:t xml:space="preserve">afferma </w:t>
      </w:r>
      <w:r w:rsidRPr="00D8454E">
        <w:rPr>
          <w:rFonts w:cs="Arial"/>
          <w:iCs/>
          <w:sz w:val="24"/>
          <w:szCs w:val="22"/>
          <w:lang w:val="it-IT"/>
        </w:rPr>
        <w:t>Gregor Dietachmayr</w:t>
      </w:r>
      <w:r>
        <w:rPr>
          <w:rFonts w:cs="Arial"/>
          <w:iCs/>
          <w:sz w:val="24"/>
          <w:szCs w:val="22"/>
          <w:lang w:val="it-IT"/>
        </w:rPr>
        <w:t xml:space="preserve">, </w:t>
      </w:r>
      <w:r w:rsidRPr="008A315C">
        <w:rPr>
          <w:rFonts w:cs="Arial"/>
          <w:iCs/>
          <w:sz w:val="24"/>
          <w:szCs w:val="22"/>
          <w:lang w:val="it-IT"/>
        </w:rPr>
        <w:t>portavoce della dirigenza</w:t>
      </w:r>
      <w:r>
        <w:rPr>
          <w:rFonts w:cs="Arial"/>
          <w:iCs/>
          <w:sz w:val="24"/>
          <w:szCs w:val="22"/>
          <w:lang w:val="it-IT"/>
        </w:rPr>
        <w:t>, descrivendo gli obbiettivi futuri dell’azienda.</w:t>
      </w:r>
    </w:p>
    <w:p w14:paraId="32CD7EC6" w14:textId="77777777" w:rsidR="002F3A42" w:rsidRPr="008F485F" w:rsidRDefault="002F3A42" w:rsidP="00FB5247">
      <w:pPr>
        <w:jc w:val="both"/>
        <w:rPr>
          <w:rFonts w:cs="Arial"/>
          <w:iCs/>
          <w:sz w:val="24"/>
          <w:szCs w:val="22"/>
          <w:lang w:val="it-IT"/>
        </w:rPr>
      </w:pPr>
    </w:p>
    <w:p w14:paraId="31F55CF7" w14:textId="1A5DE9F3" w:rsidR="00F40301" w:rsidRPr="008F485F" w:rsidRDefault="00303130" w:rsidP="00F40301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r w:rsidRPr="00A15B48">
        <w:rPr>
          <w:rFonts w:cs="Arial"/>
          <w:b/>
          <w:sz w:val="24"/>
          <w:szCs w:val="22"/>
          <w:lang w:val="it-IT"/>
        </w:rPr>
        <w:t>Anteprima foto</w:t>
      </w:r>
      <w:r w:rsidR="00F40301" w:rsidRPr="008F485F">
        <w:rPr>
          <w:rFonts w:cs="Arial"/>
          <w:b/>
          <w:sz w:val="24"/>
          <w:szCs w:val="22"/>
          <w:lang w:val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691"/>
      </w:tblGrid>
      <w:tr w:rsidR="00A83FD5" w:rsidRPr="008F485F" w14:paraId="6161DF2D" w14:textId="77777777" w:rsidTr="00657F50">
        <w:tc>
          <w:tcPr>
            <w:tcW w:w="4485" w:type="dxa"/>
          </w:tcPr>
          <w:p w14:paraId="137B74D6" w14:textId="77777777" w:rsidR="00F71653" w:rsidRPr="008F485F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  <w:p w14:paraId="2CFC4500" w14:textId="689411CB" w:rsidR="00F40301" w:rsidRPr="008F485F" w:rsidRDefault="00942D12" w:rsidP="00657F50">
            <w:pPr>
              <w:spacing w:line="360" w:lineRule="auto"/>
              <w:rPr>
                <w:rFonts w:cs="Arial"/>
                <w:b/>
                <w:color w:val="FF00FF"/>
                <w:sz w:val="24"/>
                <w:szCs w:val="22"/>
                <w:lang w:val="it-IT"/>
              </w:rPr>
            </w:pPr>
            <w:r w:rsidRPr="008F485F">
              <w:rPr>
                <w:noProof/>
                <w:color w:val="FF00FF"/>
                <w:lang w:val="it-IT" w:eastAsia="it-IT"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</w:tcPr>
          <w:p w14:paraId="1D84AB5F" w14:textId="77777777" w:rsidR="00F71653" w:rsidRPr="008F485F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  <w:p w14:paraId="64EFDF99" w14:textId="023DF24A" w:rsidR="00F40301" w:rsidRPr="008F485F" w:rsidRDefault="00942D12" w:rsidP="00657F50">
            <w:pPr>
              <w:spacing w:line="360" w:lineRule="auto"/>
              <w:rPr>
                <w:rFonts w:cs="Arial"/>
                <w:b/>
                <w:color w:val="FF00FF"/>
                <w:sz w:val="24"/>
                <w:szCs w:val="22"/>
                <w:lang w:val="it-IT"/>
              </w:rPr>
            </w:pPr>
            <w:r w:rsidRPr="008F485F">
              <w:rPr>
                <w:noProof/>
                <w:color w:val="FF00FF"/>
                <w:lang w:val="it-IT" w:eastAsia="it-IT"/>
              </w:rPr>
              <w:drawing>
                <wp:inline distT="0" distB="0" distL="0" distR="0" wp14:anchorId="3978C802" wp14:editId="699DD65B">
                  <wp:extent cx="1143000" cy="857250"/>
                  <wp:effectExtent l="0" t="0" r="0" b="0"/>
                  <wp:docPr id="4" name="Bild 2" descr="https://cdn.poettinger.at/img/landtechnik/collection/gl/Poettinger_GF_Maschine_Ack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F_Maschine_Ack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D5" w:rsidRPr="008F485F" w14:paraId="310C885F" w14:textId="77777777" w:rsidTr="00657F50">
        <w:tc>
          <w:tcPr>
            <w:tcW w:w="4485" w:type="dxa"/>
          </w:tcPr>
          <w:p w14:paraId="02BB9F16" w14:textId="77777777" w:rsidR="00942D12" w:rsidRPr="00934A37" w:rsidRDefault="00F40301" w:rsidP="00657F50">
            <w:pPr>
              <w:rPr>
                <w:rFonts w:cs="Arial"/>
                <w:b/>
                <w:szCs w:val="22"/>
                <w:lang w:val="it-IT"/>
              </w:rPr>
            </w:pPr>
            <w:r w:rsidRPr="00934A37">
              <w:rPr>
                <w:rFonts w:cs="Arial"/>
                <w:b/>
                <w:szCs w:val="22"/>
                <w:lang w:val="it-IT"/>
              </w:rPr>
              <w:t xml:space="preserve">Mag. Gregor Dietachmayr, </w:t>
            </w:r>
          </w:p>
          <w:p w14:paraId="72D2CB62" w14:textId="3B9F91A9" w:rsidR="00F40301" w:rsidRPr="00934A37" w:rsidRDefault="00303130" w:rsidP="00657F50">
            <w:pPr>
              <w:rPr>
                <w:rFonts w:cs="Arial"/>
                <w:b/>
                <w:color w:val="FF00FF"/>
                <w:szCs w:val="22"/>
                <w:lang w:val="it-IT"/>
              </w:rPr>
            </w:pPr>
            <w:r w:rsidRPr="00934A37">
              <w:rPr>
                <w:rFonts w:cs="Arial"/>
                <w:b/>
                <w:iCs/>
                <w:sz w:val="24"/>
                <w:szCs w:val="22"/>
                <w:lang w:val="it-IT"/>
              </w:rPr>
              <w:t>portavoce della dirigenza</w:t>
            </w:r>
          </w:p>
        </w:tc>
        <w:tc>
          <w:tcPr>
            <w:tcW w:w="4577" w:type="dxa"/>
          </w:tcPr>
          <w:p w14:paraId="49252516" w14:textId="52FABF82" w:rsidR="00F40301" w:rsidRPr="00934A37" w:rsidRDefault="00303130" w:rsidP="00657F50">
            <w:pPr>
              <w:rPr>
                <w:rFonts w:cs="Arial"/>
                <w:b/>
                <w:iCs/>
                <w:szCs w:val="22"/>
                <w:lang w:val="it-IT"/>
              </w:rPr>
            </w:pPr>
            <w:r w:rsidRPr="00934A37">
              <w:rPr>
                <w:rFonts w:cs="Arial"/>
                <w:b/>
                <w:iCs/>
                <w:szCs w:val="22"/>
                <w:lang w:val="it-IT"/>
              </w:rPr>
              <w:t xml:space="preserve">Da sin.: </w:t>
            </w:r>
            <w:r w:rsidR="00F621A0" w:rsidRPr="00934A37">
              <w:rPr>
                <w:rFonts w:cs="Arial"/>
                <w:b/>
                <w:iCs/>
                <w:szCs w:val="22"/>
                <w:lang w:val="it-IT"/>
              </w:rPr>
              <w:t>DI (FH) Jörg Lechner, Dr. Markus Baldinger, Mag. Gregor Dietachmayr, Mag. Wolfgang Moser, Mag. Herbert Wagner</w:t>
            </w:r>
          </w:p>
        </w:tc>
      </w:tr>
      <w:tr w:rsidR="00A83FD5" w:rsidRPr="008F485F" w14:paraId="7A28C75F" w14:textId="77777777" w:rsidTr="00657F50">
        <w:tc>
          <w:tcPr>
            <w:tcW w:w="4485" w:type="dxa"/>
          </w:tcPr>
          <w:p w14:paraId="5B42CA68" w14:textId="77777777" w:rsidR="00657F50" w:rsidRPr="008F485F" w:rsidRDefault="00657F50" w:rsidP="00657F50">
            <w:pPr>
              <w:rPr>
                <w:color w:val="0000FF"/>
                <w:sz w:val="20"/>
                <w:szCs w:val="20"/>
                <w:u w:val="single"/>
                <w:lang w:val="it-IT"/>
              </w:rPr>
            </w:pPr>
          </w:p>
          <w:p w14:paraId="48D87403" w14:textId="040621D0" w:rsidR="00F40301" w:rsidRPr="008F485F" w:rsidRDefault="00D64DDB" w:rsidP="00657F50">
            <w:pPr>
              <w:rPr>
                <w:rFonts w:cs="Arial"/>
                <w:b/>
                <w:color w:val="FF00FF"/>
                <w:sz w:val="20"/>
                <w:szCs w:val="20"/>
                <w:lang w:val="it-IT"/>
              </w:rPr>
            </w:pPr>
            <w:hyperlink r:id="rId10" w:history="1">
              <w:r w:rsidR="00960826" w:rsidRPr="008F485F">
                <w:rPr>
                  <w:color w:val="0000FF"/>
                  <w:sz w:val="20"/>
                  <w:szCs w:val="20"/>
                  <w:u w:val="single"/>
                  <w:lang w:val="it-IT"/>
                </w:rPr>
                <w:t>http://www.poettinger.at/de_in/Newsroom/Pressebild/4063</w:t>
              </w:r>
            </w:hyperlink>
          </w:p>
        </w:tc>
        <w:tc>
          <w:tcPr>
            <w:tcW w:w="4577" w:type="dxa"/>
          </w:tcPr>
          <w:p w14:paraId="2C5BD3DF" w14:textId="77777777" w:rsidR="00657F50" w:rsidRPr="008F485F" w:rsidRDefault="00657F50" w:rsidP="00657F50">
            <w:pPr>
              <w:rPr>
                <w:color w:val="0000FF"/>
                <w:sz w:val="20"/>
                <w:szCs w:val="20"/>
                <w:u w:val="single"/>
                <w:lang w:val="it-IT"/>
              </w:rPr>
            </w:pPr>
          </w:p>
          <w:p w14:paraId="72491EA0" w14:textId="5FCC83A5" w:rsidR="00CA4B29" w:rsidRPr="008F485F" w:rsidRDefault="00D64DDB" w:rsidP="00657F50">
            <w:pPr>
              <w:rPr>
                <w:color w:val="0000FF"/>
                <w:sz w:val="20"/>
                <w:szCs w:val="20"/>
                <w:u w:val="single"/>
                <w:lang w:val="it-IT"/>
              </w:rPr>
            </w:pPr>
            <w:hyperlink r:id="rId11" w:history="1">
              <w:r w:rsidR="00CA4B29" w:rsidRPr="008F485F">
                <w:rPr>
                  <w:color w:val="0000FF"/>
                  <w:sz w:val="20"/>
                  <w:szCs w:val="20"/>
                  <w:u w:val="single"/>
                  <w:lang w:val="it-IT"/>
                </w:rPr>
                <w:t>https://www.poettinger.at/de_at/Newsroom/Pressebild/4062</w:t>
              </w:r>
            </w:hyperlink>
          </w:p>
        </w:tc>
      </w:tr>
    </w:tbl>
    <w:p w14:paraId="7891CEC4" w14:textId="77777777" w:rsidR="00303130" w:rsidRDefault="00303130" w:rsidP="00F514CE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</w:p>
    <w:p w14:paraId="4597312E" w14:textId="77777777" w:rsidR="00934A37" w:rsidRPr="00B4141F" w:rsidRDefault="00934A37" w:rsidP="00934A37">
      <w:pPr>
        <w:widowControl w:val="0"/>
        <w:autoSpaceDE w:val="0"/>
        <w:autoSpaceDN w:val="0"/>
        <w:adjustRightInd w:val="0"/>
        <w:spacing w:line="360" w:lineRule="auto"/>
        <w:rPr>
          <w:rFonts w:cs="Arial"/>
          <w:snapToGrid w:val="0"/>
          <w:color w:val="000000"/>
          <w:sz w:val="24"/>
          <w:lang w:val="it-IT" w:eastAsia="de-DE"/>
        </w:rPr>
      </w:pPr>
      <w:r w:rsidRPr="002041E5">
        <w:rPr>
          <w:rFonts w:cs="Arial"/>
          <w:sz w:val="24"/>
          <w:lang w:val="it-IT"/>
        </w:rPr>
        <w:t>U</w:t>
      </w:r>
      <w:bookmarkStart w:id="1" w:name="_GoBack"/>
      <w:bookmarkEnd w:id="1"/>
      <w:r w:rsidRPr="002041E5">
        <w:rPr>
          <w:rFonts w:cs="Arial"/>
          <w:sz w:val="24"/>
          <w:lang w:val="it-IT"/>
        </w:rPr>
        <w:t>lteriori immagini ottimizzate per la stampa disponibili su Internet all'indirizzo:</w:t>
      </w:r>
      <w:r w:rsidRPr="00B4141F">
        <w:rPr>
          <w:rFonts w:cs="Arial"/>
          <w:b/>
          <w:sz w:val="24"/>
          <w:lang w:val="it-IT"/>
        </w:rPr>
        <w:t xml:space="preserve"> </w:t>
      </w:r>
      <w:hyperlink r:id="rId12" w:history="1">
        <w:r w:rsidRPr="00B4141F">
          <w:rPr>
            <w:rStyle w:val="Collegamentoipertestuale"/>
            <w:rFonts w:cs="Arial"/>
            <w:sz w:val="24"/>
            <w:lang w:val="it-IT"/>
          </w:rPr>
          <w:t>http://www.poettinger.at/presse</w:t>
        </w:r>
      </w:hyperlink>
    </w:p>
    <w:p w14:paraId="125C9674" w14:textId="34058414" w:rsidR="002F3A42" w:rsidRPr="008F485F" w:rsidRDefault="002F3A42" w:rsidP="00F514CE">
      <w:pPr>
        <w:spacing w:line="360" w:lineRule="auto"/>
        <w:jc w:val="both"/>
        <w:rPr>
          <w:rStyle w:val="Collegamentoipertestuale"/>
          <w:rFonts w:cs="Arial"/>
          <w:color w:val="auto"/>
          <w:szCs w:val="22"/>
          <w:lang w:val="it-IT"/>
        </w:rPr>
      </w:pPr>
    </w:p>
    <w:sectPr w:rsidR="002F3A42" w:rsidRPr="008F485F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131E" w14:textId="77777777" w:rsidR="00D64DDB" w:rsidRDefault="00D64DDB" w:rsidP="00A92099">
      <w:r>
        <w:separator/>
      </w:r>
    </w:p>
  </w:endnote>
  <w:endnote w:type="continuationSeparator" w:id="0">
    <w:p w14:paraId="73C3E1DB" w14:textId="77777777" w:rsidR="00D64DDB" w:rsidRDefault="00D64DDB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14:paraId="2EE3C526" w14:textId="77777777"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D64DDB">
      <w:rPr>
        <w:rFonts w:cs="Arial"/>
        <w:noProof/>
        <w:sz w:val="18"/>
        <w:szCs w:val="18"/>
        <w:lang w:val="de-DE"/>
      </w:rPr>
      <w:t>1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69D51" w14:textId="77777777" w:rsidR="00D64DDB" w:rsidRDefault="00D64DDB" w:rsidP="00A92099">
      <w:r>
        <w:separator/>
      </w:r>
    </w:p>
  </w:footnote>
  <w:footnote w:type="continuationSeparator" w:id="0">
    <w:p w14:paraId="68737296" w14:textId="77777777" w:rsidR="00D64DDB" w:rsidRDefault="00D64DDB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7E20" w14:textId="77777777" w:rsidR="00105362" w:rsidRDefault="00F3189E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it-IT" w:eastAsia="it-IT"/>
      </w:rPr>
      <w:drawing>
        <wp:anchor distT="0" distB="0" distL="114300" distR="114300" simplePos="0" relativeHeight="251658240" behindDoc="0" locked="0" layoutInCell="1" allowOverlap="1" wp14:anchorId="70F9E722" wp14:editId="3E24F2EC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14:paraId="420D7441" w14:textId="77777777" w:rsidR="008F485F" w:rsidRDefault="008F485F" w:rsidP="008F485F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 w:rsidRPr="00701FDE">
      <w:rPr>
        <w:rFonts w:cs="Arial"/>
        <w:b/>
        <w:sz w:val="24"/>
        <w:lang w:val="de-DE"/>
      </w:rPr>
      <w:t>Comunicato stampa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B"/>
    <w:rsid w:val="0000763A"/>
    <w:rsid w:val="000103D6"/>
    <w:rsid w:val="0001091E"/>
    <w:rsid w:val="000511C3"/>
    <w:rsid w:val="000729E6"/>
    <w:rsid w:val="00080095"/>
    <w:rsid w:val="00083112"/>
    <w:rsid w:val="00086292"/>
    <w:rsid w:val="00090CD0"/>
    <w:rsid w:val="000A2F69"/>
    <w:rsid w:val="000B3E73"/>
    <w:rsid w:val="000B593F"/>
    <w:rsid w:val="000D391F"/>
    <w:rsid w:val="000E636D"/>
    <w:rsid w:val="000F775B"/>
    <w:rsid w:val="000F7BB8"/>
    <w:rsid w:val="00105362"/>
    <w:rsid w:val="0010591C"/>
    <w:rsid w:val="001079C7"/>
    <w:rsid w:val="001233CA"/>
    <w:rsid w:val="00132418"/>
    <w:rsid w:val="00133BFE"/>
    <w:rsid w:val="001359FE"/>
    <w:rsid w:val="0014096D"/>
    <w:rsid w:val="00166CD0"/>
    <w:rsid w:val="0017619E"/>
    <w:rsid w:val="00181783"/>
    <w:rsid w:val="00192865"/>
    <w:rsid w:val="00194E7B"/>
    <w:rsid w:val="00195194"/>
    <w:rsid w:val="001A3357"/>
    <w:rsid w:val="001A72E9"/>
    <w:rsid w:val="001A7EDC"/>
    <w:rsid w:val="001B0186"/>
    <w:rsid w:val="001B0846"/>
    <w:rsid w:val="001C431C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4657D"/>
    <w:rsid w:val="00250690"/>
    <w:rsid w:val="0025382C"/>
    <w:rsid w:val="00255913"/>
    <w:rsid w:val="002624BB"/>
    <w:rsid w:val="002851E1"/>
    <w:rsid w:val="00286632"/>
    <w:rsid w:val="00293311"/>
    <w:rsid w:val="00295192"/>
    <w:rsid w:val="002A347B"/>
    <w:rsid w:val="002B1DDA"/>
    <w:rsid w:val="002C4658"/>
    <w:rsid w:val="002D65F4"/>
    <w:rsid w:val="002E072E"/>
    <w:rsid w:val="002E0819"/>
    <w:rsid w:val="002F3A42"/>
    <w:rsid w:val="002F4A34"/>
    <w:rsid w:val="002F68F9"/>
    <w:rsid w:val="00301C9E"/>
    <w:rsid w:val="00303130"/>
    <w:rsid w:val="00305161"/>
    <w:rsid w:val="00306D4E"/>
    <w:rsid w:val="00310761"/>
    <w:rsid w:val="00332F2C"/>
    <w:rsid w:val="003339E3"/>
    <w:rsid w:val="0033632A"/>
    <w:rsid w:val="00341328"/>
    <w:rsid w:val="00354075"/>
    <w:rsid w:val="0036554E"/>
    <w:rsid w:val="00367BAE"/>
    <w:rsid w:val="00370CDF"/>
    <w:rsid w:val="00372948"/>
    <w:rsid w:val="003A1396"/>
    <w:rsid w:val="003A1BA9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414BF9"/>
    <w:rsid w:val="00414D93"/>
    <w:rsid w:val="00454B0B"/>
    <w:rsid w:val="0045696A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C25A8"/>
    <w:rsid w:val="004D13C6"/>
    <w:rsid w:val="004D51C0"/>
    <w:rsid w:val="004F271D"/>
    <w:rsid w:val="004F54E6"/>
    <w:rsid w:val="004F7891"/>
    <w:rsid w:val="004F7D2F"/>
    <w:rsid w:val="005039B8"/>
    <w:rsid w:val="00503E26"/>
    <w:rsid w:val="00510DBE"/>
    <w:rsid w:val="00511732"/>
    <w:rsid w:val="005118B3"/>
    <w:rsid w:val="005131A2"/>
    <w:rsid w:val="00513E2F"/>
    <w:rsid w:val="0051600D"/>
    <w:rsid w:val="00523CA9"/>
    <w:rsid w:val="00553987"/>
    <w:rsid w:val="00562B77"/>
    <w:rsid w:val="00563BB7"/>
    <w:rsid w:val="00564959"/>
    <w:rsid w:val="00570C3D"/>
    <w:rsid w:val="0057103E"/>
    <w:rsid w:val="00577F7C"/>
    <w:rsid w:val="005849B0"/>
    <w:rsid w:val="00593823"/>
    <w:rsid w:val="005A01A0"/>
    <w:rsid w:val="005C538F"/>
    <w:rsid w:val="005C6440"/>
    <w:rsid w:val="005D05E2"/>
    <w:rsid w:val="005D4233"/>
    <w:rsid w:val="005E1D9F"/>
    <w:rsid w:val="005E22A4"/>
    <w:rsid w:val="005E3656"/>
    <w:rsid w:val="005F340C"/>
    <w:rsid w:val="005F52BE"/>
    <w:rsid w:val="006003A7"/>
    <w:rsid w:val="00607765"/>
    <w:rsid w:val="00626315"/>
    <w:rsid w:val="00632E4B"/>
    <w:rsid w:val="006373F9"/>
    <w:rsid w:val="00647E50"/>
    <w:rsid w:val="00650000"/>
    <w:rsid w:val="006527FE"/>
    <w:rsid w:val="00657F50"/>
    <w:rsid w:val="0066562C"/>
    <w:rsid w:val="006671E5"/>
    <w:rsid w:val="00690AB6"/>
    <w:rsid w:val="006932F7"/>
    <w:rsid w:val="00694417"/>
    <w:rsid w:val="00696E62"/>
    <w:rsid w:val="006D6874"/>
    <w:rsid w:val="006E3C71"/>
    <w:rsid w:val="006E79F5"/>
    <w:rsid w:val="006F4BAA"/>
    <w:rsid w:val="007026A3"/>
    <w:rsid w:val="00710CB9"/>
    <w:rsid w:val="00715C69"/>
    <w:rsid w:val="00721100"/>
    <w:rsid w:val="007245A4"/>
    <w:rsid w:val="00730974"/>
    <w:rsid w:val="00732FF9"/>
    <w:rsid w:val="0073638A"/>
    <w:rsid w:val="007401A5"/>
    <w:rsid w:val="00745D8A"/>
    <w:rsid w:val="00745EE4"/>
    <w:rsid w:val="00773D2C"/>
    <w:rsid w:val="00776BBB"/>
    <w:rsid w:val="007817A5"/>
    <w:rsid w:val="00782612"/>
    <w:rsid w:val="00793B87"/>
    <w:rsid w:val="00796525"/>
    <w:rsid w:val="007B12BD"/>
    <w:rsid w:val="007B4598"/>
    <w:rsid w:val="007B5537"/>
    <w:rsid w:val="007B7F3E"/>
    <w:rsid w:val="007C745B"/>
    <w:rsid w:val="007E3998"/>
    <w:rsid w:val="007F5582"/>
    <w:rsid w:val="007F645D"/>
    <w:rsid w:val="007F69F2"/>
    <w:rsid w:val="00805634"/>
    <w:rsid w:val="0081122D"/>
    <w:rsid w:val="00820FE0"/>
    <w:rsid w:val="00831037"/>
    <w:rsid w:val="00833003"/>
    <w:rsid w:val="00837983"/>
    <w:rsid w:val="00841C80"/>
    <w:rsid w:val="008611E7"/>
    <w:rsid w:val="008618BE"/>
    <w:rsid w:val="00861F8B"/>
    <w:rsid w:val="00867CDC"/>
    <w:rsid w:val="008857FE"/>
    <w:rsid w:val="008953E9"/>
    <w:rsid w:val="008A478F"/>
    <w:rsid w:val="008B1F4A"/>
    <w:rsid w:val="008C68D8"/>
    <w:rsid w:val="008D1B94"/>
    <w:rsid w:val="008D3602"/>
    <w:rsid w:val="008E42C7"/>
    <w:rsid w:val="008E6C96"/>
    <w:rsid w:val="008F345E"/>
    <w:rsid w:val="008F485F"/>
    <w:rsid w:val="0090166F"/>
    <w:rsid w:val="009034C3"/>
    <w:rsid w:val="00906931"/>
    <w:rsid w:val="009122A6"/>
    <w:rsid w:val="0091686B"/>
    <w:rsid w:val="009271AE"/>
    <w:rsid w:val="009277ED"/>
    <w:rsid w:val="00930D86"/>
    <w:rsid w:val="00934A37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F3E"/>
    <w:rsid w:val="009B7C92"/>
    <w:rsid w:val="009C6C19"/>
    <w:rsid w:val="009D5026"/>
    <w:rsid w:val="009E7D93"/>
    <w:rsid w:val="00A024E7"/>
    <w:rsid w:val="00A05F62"/>
    <w:rsid w:val="00A1023C"/>
    <w:rsid w:val="00A26299"/>
    <w:rsid w:val="00A27DCD"/>
    <w:rsid w:val="00A33250"/>
    <w:rsid w:val="00A33633"/>
    <w:rsid w:val="00A37961"/>
    <w:rsid w:val="00A435C8"/>
    <w:rsid w:val="00A45D45"/>
    <w:rsid w:val="00A4724F"/>
    <w:rsid w:val="00A52A93"/>
    <w:rsid w:val="00A53216"/>
    <w:rsid w:val="00A53612"/>
    <w:rsid w:val="00A55C53"/>
    <w:rsid w:val="00A65772"/>
    <w:rsid w:val="00A761AC"/>
    <w:rsid w:val="00A83FD5"/>
    <w:rsid w:val="00A92099"/>
    <w:rsid w:val="00A93097"/>
    <w:rsid w:val="00AB6584"/>
    <w:rsid w:val="00AC3755"/>
    <w:rsid w:val="00AD334C"/>
    <w:rsid w:val="00AD69EB"/>
    <w:rsid w:val="00AE4208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5E0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D7D03"/>
    <w:rsid w:val="00BF1549"/>
    <w:rsid w:val="00BF2E5C"/>
    <w:rsid w:val="00C06E5F"/>
    <w:rsid w:val="00C0770E"/>
    <w:rsid w:val="00C22754"/>
    <w:rsid w:val="00C22763"/>
    <w:rsid w:val="00C41834"/>
    <w:rsid w:val="00C554B4"/>
    <w:rsid w:val="00C60D4F"/>
    <w:rsid w:val="00C71CD6"/>
    <w:rsid w:val="00C819D2"/>
    <w:rsid w:val="00C865DB"/>
    <w:rsid w:val="00C9511E"/>
    <w:rsid w:val="00CA2767"/>
    <w:rsid w:val="00CA4B29"/>
    <w:rsid w:val="00CA7FAD"/>
    <w:rsid w:val="00CB09DA"/>
    <w:rsid w:val="00CB20F4"/>
    <w:rsid w:val="00CB2C5F"/>
    <w:rsid w:val="00CB2D2C"/>
    <w:rsid w:val="00CD2D62"/>
    <w:rsid w:val="00CD37AB"/>
    <w:rsid w:val="00CE1B7D"/>
    <w:rsid w:val="00CE371E"/>
    <w:rsid w:val="00CF524C"/>
    <w:rsid w:val="00D02CA4"/>
    <w:rsid w:val="00D10A8A"/>
    <w:rsid w:val="00D24A5B"/>
    <w:rsid w:val="00D26777"/>
    <w:rsid w:val="00D42F4D"/>
    <w:rsid w:val="00D43D59"/>
    <w:rsid w:val="00D6000B"/>
    <w:rsid w:val="00D630B5"/>
    <w:rsid w:val="00D64DDB"/>
    <w:rsid w:val="00D66D21"/>
    <w:rsid w:val="00D75C62"/>
    <w:rsid w:val="00D81874"/>
    <w:rsid w:val="00D81D3B"/>
    <w:rsid w:val="00D918E6"/>
    <w:rsid w:val="00D94C66"/>
    <w:rsid w:val="00DA2903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232F"/>
    <w:rsid w:val="00E03806"/>
    <w:rsid w:val="00E215B5"/>
    <w:rsid w:val="00E244B7"/>
    <w:rsid w:val="00E25DB2"/>
    <w:rsid w:val="00E26C97"/>
    <w:rsid w:val="00E36883"/>
    <w:rsid w:val="00E40E5C"/>
    <w:rsid w:val="00E558B4"/>
    <w:rsid w:val="00E63E2D"/>
    <w:rsid w:val="00E663BF"/>
    <w:rsid w:val="00E667FA"/>
    <w:rsid w:val="00E66BB8"/>
    <w:rsid w:val="00E70629"/>
    <w:rsid w:val="00E72816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90C4A"/>
    <w:rsid w:val="00FA20B3"/>
    <w:rsid w:val="00FB5247"/>
    <w:rsid w:val="00FB7A4D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93983"/>
  <w15:docId w15:val="{A4AAC8A3-7E6A-4B6C-A585-7DD0CC0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6577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A6577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Collegamentoipertestuale">
    <w:name w:val="Hyperlink"/>
    <w:basedOn w:val="Carpredefinitoparagrafo"/>
    <w:rsid w:val="007C745B"/>
    <w:rPr>
      <w:color w:val="0000FF"/>
      <w:u w:val="single"/>
    </w:rPr>
  </w:style>
  <w:style w:type="table" w:styleId="Grigliatabella">
    <w:name w:val="Table Grid"/>
    <w:basedOn w:val="Tabellanorma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Corpodeltesto3Carattere">
    <w:name w:val="Corpo del testo 3 Carattere"/>
    <w:basedOn w:val="Carpredefinitoparagrafo"/>
    <w:link w:val="Corpodeltesto3"/>
    <w:rsid w:val="00CA2767"/>
    <w:rPr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0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ettinger.at/de_in/Newsroom/Pressebild/4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522F79-1F83-4B37-BBE7-E4797132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Geschäftsbericht 18/19 kurz</vt:lpstr>
      <vt:lpstr/>
    </vt:vector>
  </TitlesOfParts>
  <Company>PÖTTINGER Landtechnik GmbH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18/19 kurz</dc:title>
  <dc:creator>steiing</dc:creator>
  <cp:lastModifiedBy>Jurgen</cp:lastModifiedBy>
  <cp:revision>8</cp:revision>
  <cp:lastPrinted>2019-09-03T10:52:00Z</cp:lastPrinted>
  <dcterms:created xsi:type="dcterms:W3CDTF">2019-09-04T05:12:00Z</dcterms:created>
  <dcterms:modified xsi:type="dcterms:W3CDTF">2019-09-21T14:19:00Z</dcterms:modified>
</cp:coreProperties>
</file>