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E4E4" w14:textId="49633695" w:rsidR="005A7BAC" w:rsidRPr="005A7BAC" w:rsidRDefault="00B95B27" w:rsidP="00C82208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TERRADISC T mit Verteilsystem</w:t>
      </w:r>
      <w:r w:rsidR="000E14BB" w:rsidRPr="000E14BB">
        <w:rPr>
          <w:rFonts w:ascii="Arial" w:hAnsi="Arial" w:cs="Arial"/>
          <w:sz w:val="40"/>
          <w:szCs w:val="40"/>
        </w:rPr>
        <w:t xml:space="preserve"> </w:t>
      </w:r>
      <w:r w:rsidR="000E14BB">
        <w:rPr>
          <w:rFonts w:ascii="Arial" w:hAnsi="Arial" w:cs="Arial"/>
          <w:sz w:val="40"/>
          <w:szCs w:val="40"/>
        </w:rPr>
        <w:t>für AMICO F</w:t>
      </w:r>
      <w:r w:rsidR="005A7BAC" w:rsidRPr="005A7BAC">
        <w:rPr>
          <w:rFonts w:ascii="Arial" w:hAnsi="Arial" w:cs="Arial"/>
          <w:sz w:val="40"/>
          <w:szCs w:val="40"/>
        </w:rPr>
        <w:t xml:space="preserve">: </w:t>
      </w:r>
    </w:p>
    <w:p w14:paraId="5A398E39" w14:textId="00D3E190" w:rsidR="005A7BAC" w:rsidRPr="005A7BAC" w:rsidRDefault="00B95B27" w:rsidP="00C82208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Den Boden</w:t>
      </w:r>
      <w:r w:rsidR="00FB41EB">
        <w:rPr>
          <w:rFonts w:ascii="Arial" w:hAnsi="Arial" w:cs="Arial"/>
          <w:sz w:val="40"/>
          <w:szCs w:val="40"/>
        </w:rPr>
        <w:t xml:space="preserve"> in einer Überfahrt </w:t>
      </w:r>
      <w:r>
        <w:rPr>
          <w:rFonts w:ascii="Arial" w:hAnsi="Arial" w:cs="Arial"/>
          <w:sz w:val="40"/>
          <w:szCs w:val="40"/>
        </w:rPr>
        <w:t>vitalisieren</w:t>
      </w:r>
    </w:p>
    <w:p w14:paraId="4E882D5F" w14:textId="6298D873" w:rsidR="00B95B27" w:rsidRPr="00B95B27" w:rsidRDefault="00B95B27" w:rsidP="00B95B27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Für die schlagkräftige Ausbringung während der Stoppelbearbeitung oder Saatbettbereitung hat </w:t>
      </w:r>
      <w:r w:rsidR="00691160">
        <w:rPr>
          <w:rFonts w:ascii="Arial" w:hAnsi="Arial" w:cs="Arial"/>
          <w:color w:val="auto"/>
          <w:spacing w:val="0"/>
          <w:sz w:val="24"/>
          <w:szCs w:val="24"/>
        </w:rPr>
        <w:t>Pöttinger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="005E4B3B">
        <w:rPr>
          <w:rFonts w:ascii="Arial" w:hAnsi="Arial" w:cs="Arial"/>
          <w:color w:val="auto"/>
          <w:spacing w:val="0"/>
          <w:sz w:val="24"/>
          <w:szCs w:val="24"/>
        </w:rPr>
        <w:t xml:space="preserve">neben den TERRIA Grubbern nun auch 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>die gezogenen TERRADISC</w:t>
      </w:r>
      <w:r w:rsidR="005E4B3B">
        <w:rPr>
          <w:rFonts w:ascii="Arial" w:hAnsi="Arial" w:cs="Arial"/>
          <w:color w:val="auto"/>
          <w:spacing w:val="0"/>
          <w:sz w:val="24"/>
          <w:szCs w:val="24"/>
        </w:rPr>
        <w:t xml:space="preserve"> 8001 </w:t>
      </w:r>
      <w:r w:rsidR="00151BBF">
        <w:rPr>
          <w:rFonts w:ascii="Arial" w:hAnsi="Arial" w:cs="Arial"/>
          <w:color w:val="auto"/>
          <w:spacing w:val="0"/>
          <w:sz w:val="24"/>
          <w:szCs w:val="24"/>
        </w:rPr>
        <w:t xml:space="preserve">T </w:t>
      </w:r>
      <w:r w:rsidR="005E4B3B">
        <w:rPr>
          <w:rFonts w:ascii="Arial" w:hAnsi="Arial" w:cs="Arial"/>
          <w:color w:val="auto"/>
          <w:spacing w:val="0"/>
          <w:sz w:val="24"/>
          <w:szCs w:val="24"/>
        </w:rPr>
        <w:t>/ 10001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T </w:t>
      </w:r>
      <w:r w:rsidR="005E4B3B">
        <w:rPr>
          <w:rFonts w:ascii="Arial" w:hAnsi="Arial" w:cs="Arial"/>
          <w:color w:val="auto"/>
          <w:spacing w:val="0"/>
          <w:sz w:val="24"/>
          <w:szCs w:val="24"/>
        </w:rPr>
        <w:t>Scheibeneggen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mit einem Verteilsystem ausgestattet</w:t>
      </w:r>
      <w:r w:rsidR="005E4B3B">
        <w:rPr>
          <w:rFonts w:ascii="Arial" w:hAnsi="Arial" w:cs="Arial"/>
          <w:color w:val="auto"/>
          <w:spacing w:val="0"/>
          <w:sz w:val="24"/>
          <w:szCs w:val="24"/>
        </w:rPr>
        <w:t xml:space="preserve"> und </w:t>
      </w:r>
      <w:r w:rsidR="00151BBF">
        <w:rPr>
          <w:rFonts w:ascii="Arial" w:hAnsi="Arial" w:cs="Arial"/>
          <w:color w:val="auto"/>
          <w:spacing w:val="0"/>
          <w:sz w:val="24"/>
          <w:szCs w:val="24"/>
        </w:rPr>
        <w:t xml:space="preserve">mit </w:t>
      </w:r>
      <w:r w:rsidR="005E4B3B">
        <w:rPr>
          <w:rFonts w:ascii="Arial" w:hAnsi="Arial" w:cs="Arial"/>
          <w:color w:val="auto"/>
          <w:spacing w:val="0"/>
          <w:sz w:val="24"/>
          <w:szCs w:val="24"/>
        </w:rPr>
        <w:t>dem Fronttank AMICO F gekoppelt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. </w:t>
      </w:r>
      <w:r w:rsidR="00AB3C74">
        <w:rPr>
          <w:rFonts w:ascii="Arial" w:hAnsi="Arial" w:cs="Arial"/>
          <w:color w:val="auto"/>
          <w:spacing w:val="0"/>
          <w:sz w:val="24"/>
          <w:szCs w:val="24"/>
        </w:rPr>
        <w:t>Dadurch werden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somit die Arbeitsschritte Bodenbearbeitung und</w:t>
      </w:r>
      <w:r w:rsidR="005E4B3B">
        <w:rPr>
          <w:rFonts w:ascii="Arial" w:hAnsi="Arial" w:cs="Arial"/>
          <w:color w:val="auto"/>
          <w:spacing w:val="0"/>
          <w:sz w:val="24"/>
          <w:szCs w:val="24"/>
        </w:rPr>
        <w:t xml:space="preserve"> Aussaat </w:t>
      </w:r>
      <w:r w:rsidR="00AF74D6">
        <w:rPr>
          <w:rFonts w:ascii="Arial" w:hAnsi="Arial" w:cs="Arial"/>
          <w:color w:val="auto"/>
          <w:spacing w:val="0"/>
          <w:sz w:val="24"/>
          <w:szCs w:val="24"/>
        </w:rPr>
        <w:t>oder</w:t>
      </w:r>
      <w:r w:rsidR="005E4B3B">
        <w:rPr>
          <w:rFonts w:ascii="Arial" w:hAnsi="Arial" w:cs="Arial"/>
          <w:color w:val="auto"/>
          <w:spacing w:val="0"/>
          <w:sz w:val="24"/>
          <w:szCs w:val="24"/>
        </w:rPr>
        <w:t xml:space="preserve"> Düngung</w:t>
      </w:r>
      <w:r w:rsidR="00AB3C74">
        <w:rPr>
          <w:rFonts w:ascii="Arial" w:hAnsi="Arial" w:cs="Arial"/>
          <w:color w:val="auto"/>
          <w:spacing w:val="0"/>
          <w:sz w:val="24"/>
          <w:szCs w:val="24"/>
        </w:rPr>
        <w:t xml:space="preserve"> zusammen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erledigt.</w:t>
      </w:r>
    </w:p>
    <w:p w14:paraId="4A814C93" w14:textId="77777777" w:rsidR="00E1507C" w:rsidRDefault="00E1507C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567706" w14:textId="127F1D92" w:rsidR="00FB41EB" w:rsidRDefault="00B95B27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Schlagkräftig</w:t>
      </w:r>
      <w:r w:rsidR="00FB41EB">
        <w:rPr>
          <w:rFonts w:ascii="Arial" w:hAnsi="Arial" w:cs="Arial"/>
          <w:b/>
          <w:bCs/>
          <w:sz w:val="24"/>
          <w:szCs w:val="24"/>
        </w:rPr>
        <w:t xml:space="preserve"> arbeiten</w:t>
      </w:r>
    </w:p>
    <w:p w14:paraId="27B6A736" w14:textId="107F89CD" w:rsidR="005E4B3B" w:rsidRDefault="00B95B27" w:rsidP="00B95B27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In nur einer Überfahrt werden mit dem ressourcenschonenden Verfahren Dünger </w:t>
      </w:r>
      <w:r w:rsidR="00151BBF">
        <w:rPr>
          <w:rFonts w:ascii="Arial" w:hAnsi="Arial" w:cs="Arial"/>
          <w:color w:val="auto"/>
          <w:spacing w:val="0"/>
          <w:sz w:val="24"/>
          <w:szCs w:val="24"/>
        </w:rPr>
        <w:t>oder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Zwischenfrüchte direkt in</w:t>
      </w:r>
      <w:r w:rsidR="00F56C00">
        <w:rPr>
          <w:rFonts w:ascii="Arial" w:hAnsi="Arial" w:cs="Arial"/>
          <w:color w:val="auto"/>
          <w:spacing w:val="0"/>
          <w:sz w:val="24"/>
          <w:szCs w:val="24"/>
        </w:rPr>
        <w:t xml:space="preserve"> den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Boden eingebracht. Durch die </w:t>
      </w:r>
      <w:r w:rsidR="005E4B3B">
        <w:rPr>
          <w:rFonts w:ascii="Arial" w:hAnsi="Arial" w:cs="Arial"/>
          <w:color w:val="auto"/>
          <w:spacing w:val="0"/>
          <w:sz w:val="24"/>
          <w:szCs w:val="24"/>
        </w:rPr>
        <w:t>Zugabe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des Düngers in den </w:t>
      </w:r>
      <w:r w:rsidR="005E4B3B">
        <w:rPr>
          <w:rFonts w:ascii="Arial" w:hAnsi="Arial" w:cs="Arial"/>
          <w:color w:val="auto"/>
          <w:spacing w:val="0"/>
          <w:sz w:val="24"/>
          <w:szCs w:val="24"/>
        </w:rPr>
        <w:t xml:space="preserve">aufgeworfenen </w:t>
      </w:r>
      <w:proofErr w:type="spellStart"/>
      <w:r w:rsidRPr="00B95B27">
        <w:rPr>
          <w:rFonts w:ascii="Arial" w:hAnsi="Arial" w:cs="Arial"/>
          <w:color w:val="auto"/>
          <w:spacing w:val="0"/>
          <w:sz w:val="24"/>
          <w:szCs w:val="24"/>
        </w:rPr>
        <w:t>Erd</w:t>
      </w:r>
      <w:r w:rsidR="005E4B3B">
        <w:rPr>
          <w:rFonts w:ascii="Arial" w:hAnsi="Arial" w:cs="Arial"/>
          <w:color w:val="auto"/>
          <w:spacing w:val="0"/>
          <w:sz w:val="24"/>
          <w:szCs w:val="24"/>
        </w:rPr>
        <w:t>strom</w:t>
      </w:r>
      <w:proofErr w:type="spellEnd"/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wird dieser direkt </w:t>
      </w:r>
      <w:r w:rsidR="005E4B3B">
        <w:rPr>
          <w:rFonts w:ascii="Arial" w:hAnsi="Arial" w:cs="Arial"/>
          <w:color w:val="auto"/>
          <w:spacing w:val="0"/>
          <w:sz w:val="24"/>
          <w:szCs w:val="24"/>
        </w:rPr>
        <w:t xml:space="preserve">mit </w:t>
      </w:r>
      <w:r w:rsidR="00F56C00">
        <w:rPr>
          <w:rFonts w:ascii="Arial" w:hAnsi="Arial" w:cs="Arial"/>
          <w:color w:val="auto"/>
          <w:spacing w:val="0"/>
          <w:sz w:val="24"/>
          <w:szCs w:val="24"/>
        </w:rPr>
        <w:t>dem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Boden </w:t>
      </w:r>
      <w:r w:rsidR="00F56C00">
        <w:rPr>
          <w:rFonts w:ascii="Arial" w:hAnsi="Arial" w:cs="Arial"/>
          <w:color w:val="auto"/>
          <w:spacing w:val="0"/>
          <w:sz w:val="24"/>
          <w:szCs w:val="24"/>
        </w:rPr>
        <w:t>vermischt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und bedeckt. Der Dünger </w:t>
      </w:r>
      <w:r w:rsidR="0060622A">
        <w:rPr>
          <w:rFonts w:ascii="Arial" w:hAnsi="Arial" w:cs="Arial"/>
          <w:color w:val="auto"/>
          <w:spacing w:val="0"/>
          <w:sz w:val="24"/>
          <w:szCs w:val="24"/>
        </w:rPr>
        <w:t>erfährt keine Wirkungsverluste und die effektive Düngermenge bleibt für die Pflanzen verfügbar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>. Das Verfahren eignet sich zur Saatbettbereitung im Frühjahr oder zur Ausgleichsdü</w:t>
      </w:r>
      <w:r w:rsidR="005E4B3B">
        <w:rPr>
          <w:rFonts w:ascii="Arial" w:hAnsi="Arial" w:cs="Arial"/>
          <w:color w:val="auto"/>
          <w:spacing w:val="0"/>
          <w:sz w:val="24"/>
          <w:szCs w:val="24"/>
        </w:rPr>
        <w:t>n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>gung von granularen Spurenelementen im Herbst.</w:t>
      </w:r>
      <w:r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</w:p>
    <w:p w14:paraId="19CBC3A7" w14:textId="618B6CD8" w:rsidR="00FB41EB" w:rsidRDefault="00B95B27" w:rsidP="00B95B27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Zwischenfrüchte werden durch die sofortige Bedeckung und die Rückverfestigung über den Packer direkt zum Keimen angeregt. Die Ausbringung kann beim flachen Stoppelsturz erfolgen. Arbeitsgeschwindigkeiten jenseits der 10 km/h sorgen in Kombination mit den großen Arbeitsbreiten von 8 </w:t>
      </w:r>
      <w:r w:rsidR="00151BBF">
        <w:rPr>
          <w:rFonts w:ascii="Arial" w:hAnsi="Arial" w:cs="Arial"/>
          <w:color w:val="auto"/>
          <w:spacing w:val="0"/>
          <w:sz w:val="24"/>
          <w:szCs w:val="24"/>
        </w:rPr>
        <w:t>und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10 m für eine enorme Flächenleistung.</w:t>
      </w:r>
    </w:p>
    <w:p w14:paraId="35A9238C" w14:textId="77777777" w:rsidR="00B95B27" w:rsidRPr="00B95B27" w:rsidRDefault="00B95B27" w:rsidP="00B95B27"/>
    <w:p w14:paraId="44EF6117" w14:textId="3DC85232" w:rsidR="005D2ACE" w:rsidRPr="00E1507C" w:rsidRDefault="00B95B27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Einsatzsichere Arbeitswerkzeuge</w:t>
      </w:r>
    </w:p>
    <w:p w14:paraId="0C3947B1" w14:textId="4D6918DB" w:rsidR="00B95B27" w:rsidRPr="00B95B27" w:rsidRDefault="00B95B27" w:rsidP="00B95B27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 w:rsidRPr="00B95B27">
        <w:rPr>
          <w:rFonts w:ascii="Arial" w:hAnsi="Arial" w:cs="Arial"/>
          <w:color w:val="auto"/>
          <w:spacing w:val="0"/>
          <w:sz w:val="24"/>
          <w:szCs w:val="24"/>
        </w:rPr>
        <w:t>Großdimensionierte</w:t>
      </w:r>
      <w:r w:rsidR="00AB3C74">
        <w:rPr>
          <w:rFonts w:ascii="Arial" w:hAnsi="Arial" w:cs="Arial"/>
          <w:color w:val="auto"/>
          <w:spacing w:val="0"/>
          <w:sz w:val="24"/>
          <w:szCs w:val="24"/>
        </w:rPr>
        <w:t>,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gezackte Scheiben mit 580 mm Durchmesser schneiden den Boden</w:t>
      </w:r>
      <w:r w:rsidR="00AB3C74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>und bringen die Erde in Bewegung. Die aggressive Anstellung der Werkzeuge mit hohem Untergriff sorg</w:t>
      </w:r>
      <w:r w:rsidR="00AB3C74">
        <w:rPr>
          <w:rFonts w:ascii="Arial" w:hAnsi="Arial" w:cs="Arial"/>
          <w:color w:val="auto"/>
          <w:spacing w:val="0"/>
          <w:sz w:val="24"/>
          <w:szCs w:val="24"/>
        </w:rPr>
        <w:t>t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für einen sicheren Einzug, auch unter trockensten Bedingungen. Durch die Aufhängung am TWIN</w:t>
      </w:r>
      <w:r w:rsidR="00AF74D6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>ARM System wird ein seitliches Ausweichen der Scheiben auf harten Stellen vermieden. Somit wird ganzflächig gearbeitet, was wiederum eine gleichmäßige Einbringung der Saatgüter</w:t>
      </w:r>
      <w:r w:rsidR="001914D3">
        <w:rPr>
          <w:rFonts w:ascii="Arial" w:hAnsi="Arial" w:cs="Arial"/>
          <w:color w:val="auto"/>
          <w:spacing w:val="0"/>
          <w:sz w:val="24"/>
          <w:szCs w:val="24"/>
        </w:rPr>
        <w:t xml:space="preserve"> und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des Düngers</w:t>
      </w:r>
      <w:r w:rsidR="00AB3C74">
        <w:rPr>
          <w:rFonts w:ascii="Arial" w:hAnsi="Arial" w:cs="Arial"/>
          <w:color w:val="auto"/>
          <w:spacing w:val="0"/>
          <w:sz w:val="24"/>
          <w:szCs w:val="24"/>
        </w:rPr>
        <w:t>,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gewährleistet.</w:t>
      </w:r>
    </w:p>
    <w:p w14:paraId="49AA5DFF" w14:textId="77777777" w:rsidR="009277E1" w:rsidRPr="009277E1" w:rsidRDefault="009277E1" w:rsidP="009277E1"/>
    <w:p w14:paraId="422A7892" w14:textId="3F7770AF" w:rsidR="005D2ACE" w:rsidRPr="00E1507C" w:rsidRDefault="00EC7EC7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Top-placement</w:t>
      </w:r>
      <w:r w:rsidR="002B0DD3">
        <w:rPr>
          <w:rFonts w:ascii="Arial" w:hAnsi="Arial" w:cs="Arial"/>
          <w:b/>
          <w:bCs/>
          <w:sz w:val="24"/>
          <w:szCs w:val="24"/>
        </w:rPr>
        <w:t xml:space="preserve"> </w:t>
      </w:r>
      <w:r w:rsidR="005F29BF">
        <w:rPr>
          <w:rFonts w:ascii="Arial" w:hAnsi="Arial" w:cs="Arial"/>
          <w:b/>
          <w:bCs/>
          <w:sz w:val="24"/>
          <w:szCs w:val="24"/>
        </w:rPr>
        <w:t xml:space="preserve">- </w:t>
      </w:r>
      <w:r w:rsidR="002B0DD3">
        <w:rPr>
          <w:rFonts w:ascii="Arial" w:hAnsi="Arial" w:cs="Arial"/>
          <w:b/>
          <w:bCs/>
          <w:sz w:val="24"/>
          <w:szCs w:val="24"/>
        </w:rPr>
        <w:t>Beschreibung</w:t>
      </w:r>
    </w:p>
    <w:p w14:paraId="1004A20C" w14:textId="09478C5D" w:rsidR="00E1507C" w:rsidRDefault="00B95B27" w:rsidP="00B95B27">
      <w:pPr>
        <w:pStyle w:val="CP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Eine Einstellung der Verteilschiene mit dem Auslass </w:t>
      </w:r>
      <w:r w:rsidR="00EB2032">
        <w:rPr>
          <w:rFonts w:ascii="Arial" w:hAnsi="Arial" w:cs="Arial"/>
          <w:color w:val="auto"/>
          <w:spacing w:val="0"/>
          <w:sz w:val="24"/>
          <w:szCs w:val="24"/>
        </w:rPr>
        <w:t>schräg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zum Boden stehend, bewirkt d</w:t>
      </w:r>
      <w:r w:rsidR="0078741B">
        <w:rPr>
          <w:rFonts w:ascii="Arial" w:hAnsi="Arial" w:cs="Arial"/>
          <w:color w:val="auto"/>
          <w:spacing w:val="0"/>
          <w:sz w:val="24"/>
          <w:szCs w:val="24"/>
        </w:rPr>
        <w:t>ie Zugabe von Dünger</w:t>
      </w:r>
      <w:r w:rsidR="005F7330">
        <w:rPr>
          <w:rFonts w:ascii="Arial" w:hAnsi="Arial" w:cs="Arial"/>
          <w:color w:val="auto"/>
          <w:spacing w:val="0"/>
          <w:sz w:val="24"/>
          <w:szCs w:val="24"/>
        </w:rPr>
        <w:t xml:space="preserve"> oder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="005F7330">
        <w:rPr>
          <w:rFonts w:ascii="Arial" w:hAnsi="Arial" w:cs="Arial"/>
          <w:color w:val="auto"/>
          <w:spacing w:val="0"/>
          <w:sz w:val="24"/>
          <w:szCs w:val="24"/>
        </w:rPr>
        <w:t xml:space="preserve">Saatgut </w:t>
      </w:r>
      <w:r w:rsidR="00B845E7">
        <w:rPr>
          <w:rFonts w:ascii="Arial" w:hAnsi="Arial" w:cs="Arial"/>
          <w:color w:val="auto"/>
          <w:spacing w:val="0"/>
          <w:sz w:val="24"/>
          <w:szCs w:val="24"/>
        </w:rPr>
        <w:t>auf den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B95B27">
        <w:rPr>
          <w:rFonts w:ascii="Arial" w:hAnsi="Arial" w:cs="Arial"/>
          <w:color w:val="auto"/>
          <w:spacing w:val="0"/>
          <w:sz w:val="24"/>
          <w:szCs w:val="24"/>
        </w:rPr>
        <w:t>Erdstrom</w:t>
      </w:r>
      <w:proofErr w:type="spellEnd"/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. Dadurch wird das ausgebrachte Medium mitgeführt und im oberen Bearbeitungsbereich </w:t>
      </w:r>
      <w:r w:rsidR="00AD7689">
        <w:rPr>
          <w:rFonts w:ascii="Arial" w:hAnsi="Arial" w:cs="Arial"/>
          <w:color w:val="auto"/>
          <w:spacing w:val="0"/>
          <w:sz w:val="24"/>
          <w:szCs w:val="24"/>
        </w:rPr>
        <w:t>oder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oberflächig verteilt. </w:t>
      </w:r>
      <w:r w:rsidRPr="00B95B27">
        <w:rPr>
          <w:rFonts w:ascii="Arial" w:hAnsi="Arial" w:cs="Arial"/>
          <w:sz w:val="24"/>
          <w:szCs w:val="24"/>
        </w:rPr>
        <w:t>Dieses Verfahren eignet sich zur Aussaat von Begrünung oder Begrünungsmischungen.</w:t>
      </w:r>
    </w:p>
    <w:p w14:paraId="395FD198" w14:textId="77777777" w:rsidR="00B95B27" w:rsidRPr="00B95B27" w:rsidRDefault="00B95B27" w:rsidP="00B95B27"/>
    <w:p w14:paraId="7E222728" w14:textId="2BE8F82F" w:rsidR="00B95B27" w:rsidRPr="00E1507C" w:rsidRDefault="009277E1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Mixed-placement</w:t>
      </w:r>
      <w:r w:rsidR="00B95B27">
        <w:rPr>
          <w:rFonts w:ascii="Arial" w:hAnsi="Arial" w:cs="Arial"/>
          <w:b/>
          <w:bCs/>
          <w:sz w:val="24"/>
          <w:szCs w:val="24"/>
        </w:rPr>
        <w:t xml:space="preserve"> </w:t>
      </w:r>
      <w:r w:rsidR="005C6418"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Beschreibung</w:t>
      </w:r>
    </w:p>
    <w:p w14:paraId="4520602B" w14:textId="07229729" w:rsidR="00E1507C" w:rsidRDefault="00B95B27" w:rsidP="00B95B27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Durch eine senkrecht zum Boden eingestellte Verteilschiene wird das Medium sofort in den </w:t>
      </w:r>
      <w:proofErr w:type="spellStart"/>
      <w:r w:rsidRPr="00B95B27">
        <w:rPr>
          <w:rFonts w:ascii="Arial" w:hAnsi="Arial" w:cs="Arial"/>
          <w:color w:val="auto"/>
          <w:spacing w:val="0"/>
          <w:sz w:val="24"/>
          <w:szCs w:val="24"/>
        </w:rPr>
        <w:t>Erdstrom</w:t>
      </w:r>
      <w:proofErr w:type="spellEnd"/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mit eingemischt und kann somit bis auf den Bearbeitungshorizont abgelegt werden. Die Verteilung </w:t>
      </w:r>
      <w:r w:rsidR="005F7330">
        <w:rPr>
          <w:rFonts w:ascii="Arial" w:hAnsi="Arial" w:cs="Arial"/>
          <w:color w:val="auto"/>
          <w:spacing w:val="0"/>
          <w:sz w:val="24"/>
          <w:szCs w:val="24"/>
        </w:rPr>
        <w:t>der Medien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Dünger </w:t>
      </w:r>
      <w:r w:rsidR="0022080D">
        <w:rPr>
          <w:rFonts w:ascii="Arial" w:hAnsi="Arial" w:cs="Arial"/>
          <w:color w:val="auto"/>
          <w:spacing w:val="0"/>
          <w:sz w:val="24"/>
          <w:szCs w:val="24"/>
        </w:rPr>
        <w:t>und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Saatgut erfolgt über den gesamten Bearbeitungshorizont.</w:t>
      </w:r>
      <w:r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>Beim Anwendungsfall Stoppelsturz kann beispielsweise eine Ausgleichsdüngung von Kali</w:t>
      </w:r>
      <w:r w:rsidR="00D02B12">
        <w:rPr>
          <w:rFonts w:ascii="Arial" w:hAnsi="Arial" w:cs="Arial"/>
          <w:color w:val="auto"/>
          <w:spacing w:val="0"/>
          <w:sz w:val="24"/>
          <w:szCs w:val="24"/>
        </w:rPr>
        <w:t>-</w:t>
      </w:r>
      <w:r w:rsidRPr="00B95B27">
        <w:rPr>
          <w:rFonts w:ascii="Arial" w:hAnsi="Arial" w:cs="Arial"/>
          <w:color w:val="auto"/>
          <w:spacing w:val="0"/>
          <w:sz w:val="24"/>
          <w:szCs w:val="24"/>
        </w:rPr>
        <w:t xml:space="preserve"> oder eine Stickstoffdüngung zur Beschleunigung der Strohrotte erfolgen.</w:t>
      </w:r>
    </w:p>
    <w:p w14:paraId="1D264D2D" w14:textId="77777777" w:rsidR="00E1507C" w:rsidRPr="00C82208" w:rsidRDefault="00E1507C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E4E5EE" w14:textId="30C93BE2" w:rsidR="008C7810" w:rsidRPr="00E1507C" w:rsidRDefault="009277E1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AMICO F</w:t>
      </w:r>
    </w:p>
    <w:p w14:paraId="7526C1B2" w14:textId="6DAE56AE" w:rsidR="00E1507C" w:rsidRDefault="006542EC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42EC">
        <w:rPr>
          <w:rFonts w:ascii="Arial" w:hAnsi="Arial" w:cs="Arial"/>
          <w:sz w:val="24"/>
          <w:szCs w:val="24"/>
        </w:rPr>
        <w:t>Mit 1.700 bzw. 2.400 Liter</w:t>
      </w:r>
      <w:r w:rsidR="00BD748E">
        <w:rPr>
          <w:rFonts w:ascii="Arial" w:hAnsi="Arial" w:cs="Arial"/>
          <w:sz w:val="24"/>
          <w:szCs w:val="24"/>
        </w:rPr>
        <w:t>n</w:t>
      </w:r>
      <w:r w:rsidRPr="006542EC">
        <w:rPr>
          <w:rFonts w:ascii="Arial" w:hAnsi="Arial" w:cs="Arial"/>
          <w:sz w:val="24"/>
          <w:szCs w:val="24"/>
        </w:rPr>
        <w:t xml:space="preserve"> Fassungsvermögen und einer Volumenaufteilung von 60:40 wird ein breites Einsatzspektrum</w:t>
      </w:r>
      <w:r>
        <w:rPr>
          <w:rFonts w:ascii="Arial" w:hAnsi="Arial" w:cs="Arial"/>
          <w:sz w:val="24"/>
          <w:szCs w:val="24"/>
        </w:rPr>
        <w:t xml:space="preserve"> des Fronttanks</w:t>
      </w:r>
      <w:r w:rsidRPr="006542EC">
        <w:rPr>
          <w:rFonts w:ascii="Arial" w:hAnsi="Arial" w:cs="Arial"/>
          <w:sz w:val="24"/>
          <w:szCs w:val="24"/>
        </w:rPr>
        <w:t xml:space="preserve"> gewährleistet. Um einen komfortablen Betrieb zu gewährleisten</w:t>
      </w:r>
      <w:r w:rsidR="00137A9D">
        <w:rPr>
          <w:rFonts w:ascii="Arial" w:hAnsi="Arial" w:cs="Arial"/>
          <w:sz w:val="24"/>
          <w:szCs w:val="24"/>
        </w:rPr>
        <w:t>,</w:t>
      </w:r>
      <w:r w:rsidRPr="006542EC">
        <w:rPr>
          <w:rFonts w:ascii="Arial" w:hAnsi="Arial" w:cs="Arial"/>
          <w:sz w:val="24"/>
          <w:szCs w:val="24"/>
        </w:rPr>
        <w:t xml:space="preserve"> ist der AMICO Fronttank serienmäßig mit ISOBUS ausgestattet. Die Ausbringung erfolgt dabei im Single Shoot Verfahren mit Druck</w:t>
      </w:r>
      <w:r w:rsidR="002A08AD">
        <w:rPr>
          <w:rFonts w:ascii="Arial" w:hAnsi="Arial" w:cs="Arial"/>
          <w:sz w:val="24"/>
          <w:szCs w:val="24"/>
        </w:rPr>
        <w:t>tank</w:t>
      </w:r>
      <w:r w:rsidRPr="006542EC">
        <w:rPr>
          <w:rFonts w:ascii="Arial" w:hAnsi="Arial" w:cs="Arial"/>
          <w:sz w:val="24"/>
          <w:szCs w:val="24"/>
        </w:rPr>
        <w:t>system. Die Dosiereinheiten können durch die intelligente Steuerung teilflächenspezifisch angesteuert werden – sowohl bei einer als auch bei zwei Dosierungen. Weiterhin kann der Tank durch die ISOBUS Steuerung auch mit Fremdfabrikaten problemlos verwendet werden.</w:t>
      </w:r>
    </w:p>
    <w:p w14:paraId="4074F8CB" w14:textId="77777777" w:rsidR="00A367D5" w:rsidRDefault="00A367D5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CB9F48" w14:textId="173EA800" w:rsidR="00A367D5" w:rsidRPr="009A7581" w:rsidRDefault="00A367D5" w:rsidP="00A367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7581">
        <w:rPr>
          <w:rFonts w:ascii="Arial" w:hAnsi="Arial" w:cs="Arial"/>
          <w:sz w:val="24"/>
          <w:szCs w:val="24"/>
        </w:rPr>
        <w:t xml:space="preserve">TERRADISC T mit Verteilsystem für </w:t>
      </w:r>
      <w:r w:rsidR="009A7581" w:rsidRPr="009A7581">
        <w:rPr>
          <w:rFonts w:ascii="Arial" w:hAnsi="Arial" w:cs="Arial"/>
          <w:sz w:val="24"/>
          <w:szCs w:val="24"/>
        </w:rPr>
        <w:t>AMICO F Fronttank ist ein s</w:t>
      </w:r>
      <w:r w:rsidRPr="009A7581">
        <w:rPr>
          <w:rFonts w:ascii="Arial" w:hAnsi="Arial" w:cs="Arial"/>
          <w:sz w:val="24"/>
          <w:szCs w:val="24"/>
        </w:rPr>
        <w:t>chlagkräftig</w:t>
      </w:r>
      <w:r w:rsidR="009A7581" w:rsidRPr="009A7581">
        <w:rPr>
          <w:rFonts w:ascii="Arial" w:hAnsi="Arial" w:cs="Arial"/>
          <w:sz w:val="24"/>
          <w:szCs w:val="24"/>
        </w:rPr>
        <w:t>es Gespann für</w:t>
      </w:r>
      <w:r w:rsidRPr="009A7581">
        <w:rPr>
          <w:rFonts w:ascii="Arial" w:hAnsi="Arial" w:cs="Arial"/>
          <w:sz w:val="24"/>
          <w:szCs w:val="24"/>
        </w:rPr>
        <w:t xml:space="preserve"> nachhaltig</w:t>
      </w:r>
      <w:r w:rsidR="009A7581" w:rsidRPr="009A7581">
        <w:rPr>
          <w:rFonts w:ascii="Arial" w:hAnsi="Arial" w:cs="Arial"/>
          <w:sz w:val="24"/>
          <w:szCs w:val="24"/>
        </w:rPr>
        <w:t>es</w:t>
      </w:r>
      <w:r w:rsidR="00D61A84">
        <w:rPr>
          <w:rFonts w:ascii="Arial" w:hAnsi="Arial" w:cs="Arial"/>
          <w:sz w:val="24"/>
          <w:szCs w:val="24"/>
        </w:rPr>
        <w:t xml:space="preserve"> und</w:t>
      </w:r>
      <w:r w:rsidRPr="009A7581">
        <w:rPr>
          <w:rFonts w:ascii="Arial" w:hAnsi="Arial" w:cs="Arial"/>
          <w:sz w:val="24"/>
          <w:szCs w:val="24"/>
        </w:rPr>
        <w:t xml:space="preserve"> bestes Pflanzenwachstum</w:t>
      </w:r>
      <w:r w:rsidR="009A7581" w:rsidRPr="009A7581">
        <w:rPr>
          <w:rFonts w:ascii="Arial" w:hAnsi="Arial" w:cs="Arial"/>
          <w:sz w:val="24"/>
          <w:szCs w:val="24"/>
        </w:rPr>
        <w:t>.</w:t>
      </w:r>
    </w:p>
    <w:p w14:paraId="636D07A8" w14:textId="77777777" w:rsidR="00A367D5" w:rsidRPr="00A367D5" w:rsidRDefault="00A367D5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863304" w14:textId="330B1662" w:rsidR="00746DAF" w:rsidRDefault="00746DAF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679CE" w14:textId="355BA343" w:rsidR="009277E1" w:rsidRDefault="009277E1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930980" w14:textId="77777777" w:rsidR="009277E1" w:rsidRDefault="009277E1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81D2C4" w14:textId="77777777" w:rsidR="00746DAF" w:rsidRDefault="00746DAF" w:rsidP="0074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72EA">
        <w:rPr>
          <w:rFonts w:ascii="Arial" w:hAnsi="Arial" w:cs="Arial"/>
          <w:b/>
          <w:sz w:val="24"/>
          <w:szCs w:val="24"/>
        </w:rPr>
        <w:lastRenderedPageBreak/>
        <w:t>Bildervorschau:</w:t>
      </w:r>
    </w:p>
    <w:p w14:paraId="2A7F9A59" w14:textId="77777777" w:rsidR="00746DAF" w:rsidRDefault="00746DAF" w:rsidP="00746DAF">
      <w:pPr>
        <w:spacing w:after="0" w:line="240" w:lineRule="auto"/>
        <w:rPr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6DAF" w14:paraId="4BAC345B" w14:textId="77777777" w:rsidTr="0041420D">
        <w:tc>
          <w:tcPr>
            <w:tcW w:w="4531" w:type="dxa"/>
          </w:tcPr>
          <w:p w14:paraId="7C510672" w14:textId="77777777" w:rsidR="00746DAF" w:rsidRDefault="00746DAF" w:rsidP="0041420D">
            <w:pPr>
              <w:jc w:val="center"/>
              <w:rPr>
                <w:noProof/>
              </w:rPr>
            </w:pPr>
          </w:p>
          <w:p w14:paraId="4B713382" w14:textId="04BD80FA" w:rsidR="00746DAF" w:rsidRDefault="00633ECA" w:rsidP="004142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C00334" wp14:editId="4067903A">
                  <wp:extent cx="1287000" cy="859643"/>
                  <wp:effectExtent l="0" t="0" r="8890" b="0"/>
                  <wp:docPr id="118205198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97" cy="868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1D1E0" w14:textId="77777777" w:rsidR="00746DAF" w:rsidRDefault="00746DAF" w:rsidP="0041420D">
            <w:pPr>
              <w:jc w:val="center"/>
              <w:rPr>
                <w:noProof/>
              </w:rPr>
            </w:pPr>
          </w:p>
        </w:tc>
        <w:tc>
          <w:tcPr>
            <w:tcW w:w="4531" w:type="dxa"/>
          </w:tcPr>
          <w:p w14:paraId="1C6D5B70" w14:textId="77777777" w:rsidR="00746DAF" w:rsidRDefault="00746DAF" w:rsidP="0041420D">
            <w:pPr>
              <w:jc w:val="center"/>
              <w:rPr>
                <w:noProof/>
              </w:rPr>
            </w:pPr>
          </w:p>
          <w:p w14:paraId="2A59A218" w14:textId="5FBD8E07" w:rsidR="00746DAF" w:rsidRDefault="00B82105" w:rsidP="004142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E6C120" wp14:editId="58A02AEE">
                  <wp:extent cx="1346048" cy="899085"/>
                  <wp:effectExtent l="0" t="0" r="6985" b="0"/>
                  <wp:docPr id="198277465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685" cy="90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DAF" w:rsidRPr="00891201" w14:paraId="10EE40E7" w14:textId="77777777" w:rsidTr="0041420D">
        <w:tc>
          <w:tcPr>
            <w:tcW w:w="4531" w:type="dxa"/>
          </w:tcPr>
          <w:p w14:paraId="28616565" w14:textId="63E1DEAF" w:rsidR="00746DAF" w:rsidRPr="00891201" w:rsidRDefault="00B95B27" w:rsidP="0041420D">
            <w:pPr>
              <w:jc w:val="center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Ausbringung</w:t>
            </w:r>
            <w:r w:rsidR="006542EC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und Bodenbearbeitung in </w:t>
            </w:r>
            <w:r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einer Überfahrt</w:t>
            </w:r>
            <w:r w:rsidR="007B336A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: TERRADISC 1001 T, AMICO F</w:t>
            </w:r>
          </w:p>
        </w:tc>
        <w:tc>
          <w:tcPr>
            <w:tcW w:w="4531" w:type="dxa"/>
          </w:tcPr>
          <w:p w14:paraId="3B7BA178" w14:textId="6373BBD2" w:rsidR="00746DAF" w:rsidRPr="00891201" w:rsidRDefault="006542EC" w:rsidP="0041420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AMICO </w:t>
            </w:r>
            <w:r w:rsidR="00B95B27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 </w:t>
            </w:r>
            <w:r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Fronttank </w:t>
            </w:r>
            <w:r w:rsidR="00B95B27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und</w:t>
            </w:r>
            <w:r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TERR</w:t>
            </w:r>
            <w:r w:rsidR="00B95B27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ADISC</w:t>
            </w:r>
            <w:r w:rsidR="00D54461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10001</w:t>
            </w:r>
            <w:r w:rsidR="00B95B27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</w:t>
            </w:r>
            <w:r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95B27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mit Verteilsystem</w:t>
            </w:r>
          </w:p>
        </w:tc>
      </w:tr>
      <w:tr w:rsidR="00746DAF" w:rsidRPr="00B82105" w14:paraId="7CF74051" w14:textId="77777777" w:rsidTr="0041420D">
        <w:tc>
          <w:tcPr>
            <w:tcW w:w="4531" w:type="dxa"/>
          </w:tcPr>
          <w:p w14:paraId="286EB334" w14:textId="495AD794" w:rsidR="00534AE0" w:rsidRPr="00B82105" w:rsidRDefault="00000000" w:rsidP="0041420D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633ECA" w:rsidRPr="00B82105">
                <w:rPr>
                  <w:rStyle w:val="Hyperlink"/>
                  <w:rFonts w:ascii="Arial" w:hAnsi="Arial" w:cs="Arial"/>
                </w:rPr>
                <w:t>https://www.poettinger.at/de_at/newsroom/pressebild/102084</w:t>
              </w:r>
            </w:hyperlink>
          </w:p>
          <w:p w14:paraId="1F3C9C43" w14:textId="7C2734CC" w:rsidR="00633ECA" w:rsidRPr="00B82105" w:rsidRDefault="00633ECA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</w:p>
        </w:tc>
        <w:tc>
          <w:tcPr>
            <w:tcW w:w="4531" w:type="dxa"/>
          </w:tcPr>
          <w:p w14:paraId="3E539278" w14:textId="02C0BE8E" w:rsidR="00746DAF" w:rsidRPr="00B82105" w:rsidRDefault="00000000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  <w:hyperlink r:id="rId13" w:history="1">
              <w:r w:rsidR="00D54461" w:rsidRPr="00B82105">
                <w:rPr>
                  <w:rStyle w:val="Hyperlink"/>
                  <w:rFonts w:ascii="Arial" w:hAnsi="Arial" w:cs="Arial"/>
                  <w:noProof/>
                </w:rPr>
                <w:t>https://www.poettinger.at/de_at/newsroom/pressebild/102083</w:t>
              </w:r>
            </w:hyperlink>
          </w:p>
          <w:p w14:paraId="73436E9C" w14:textId="54E8F44C" w:rsidR="00D54461" w:rsidRPr="00B82105" w:rsidRDefault="00D54461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</w:p>
        </w:tc>
      </w:tr>
    </w:tbl>
    <w:p w14:paraId="346B6820" w14:textId="77777777" w:rsidR="00746DAF" w:rsidRPr="001D303D" w:rsidRDefault="00746DAF" w:rsidP="00746DAF">
      <w:pPr>
        <w:spacing w:after="0" w:line="240" w:lineRule="auto"/>
        <w:rPr>
          <w:noProof/>
          <w:color w:val="FF00FF"/>
        </w:rPr>
      </w:pPr>
    </w:p>
    <w:p w14:paraId="1786617A" w14:textId="77777777" w:rsidR="00746DAF" w:rsidRDefault="00746DAF" w:rsidP="0074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EC6E8D" w14:textId="7182C253" w:rsidR="00746DAF" w:rsidRDefault="00746DAF" w:rsidP="00746DAF">
      <w:pPr>
        <w:jc w:val="both"/>
        <w:rPr>
          <w:rFonts w:ascii="Arial" w:hAnsi="Arial" w:cs="Arial"/>
        </w:rPr>
      </w:pPr>
      <w:r w:rsidRPr="001D303D">
        <w:rPr>
          <w:rFonts w:ascii="Arial" w:hAnsi="Arial" w:cs="Arial"/>
        </w:rPr>
        <w:t xml:space="preserve">Weitere druckoptimierte Bilder: </w:t>
      </w:r>
      <w:hyperlink r:id="rId14" w:history="1">
        <w:r w:rsidRPr="008F0C5C">
          <w:rPr>
            <w:rStyle w:val="Hyperlink"/>
            <w:rFonts w:ascii="Arial" w:hAnsi="Arial" w:cs="Arial"/>
          </w:rPr>
          <w:t>http://www.poettinger.at/presse</w:t>
        </w:r>
      </w:hyperlink>
    </w:p>
    <w:p w14:paraId="1A98A16E" w14:textId="77777777" w:rsidR="00746DAF" w:rsidRPr="001D303D" w:rsidRDefault="00746DAF" w:rsidP="00746DAF">
      <w:pPr>
        <w:jc w:val="both"/>
        <w:rPr>
          <w:rFonts w:ascii="Arial" w:hAnsi="Arial" w:cs="Arial"/>
        </w:rPr>
      </w:pPr>
    </w:p>
    <w:p w14:paraId="26F31BE4" w14:textId="77777777" w:rsidR="00746DAF" w:rsidRPr="00C82208" w:rsidRDefault="00746DAF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46DAF" w:rsidRPr="00C822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642E" w14:textId="77777777" w:rsidR="009304FB" w:rsidRDefault="009304FB" w:rsidP="00C82208">
      <w:pPr>
        <w:spacing w:after="0" w:line="240" w:lineRule="auto"/>
      </w:pPr>
      <w:r>
        <w:separator/>
      </w:r>
    </w:p>
  </w:endnote>
  <w:endnote w:type="continuationSeparator" w:id="0">
    <w:p w14:paraId="78546833" w14:textId="77777777" w:rsidR="009304FB" w:rsidRDefault="009304FB" w:rsidP="00C8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4724" w14:textId="77777777" w:rsidR="00F3685B" w:rsidRDefault="00F368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B690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46DD3F13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04266519" w14:textId="07183606" w:rsidR="00746DAF" w:rsidRPr="008B68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  <w:r w:rsidRPr="008B68AF">
      <w:rPr>
        <w:rFonts w:ascii="Arial" w:eastAsia="Times New Roman" w:hAnsi="Arial" w:cs="Arial"/>
        <w:b/>
        <w:sz w:val="18"/>
        <w:szCs w:val="18"/>
      </w:rPr>
      <w:t>PÖTTINGER Landtechnik GmbH - Unternehmenskommunikation</w:t>
    </w:r>
  </w:p>
  <w:p w14:paraId="1D41FFBD" w14:textId="77777777" w:rsidR="00F3685B" w:rsidRDefault="00746DAF" w:rsidP="00746DAF">
    <w:pPr>
      <w:spacing w:after="0" w:line="240" w:lineRule="auto"/>
      <w:rPr>
        <w:rFonts w:ascii="Arial" w:eastAsia="Times New Roman" w:hAnsi="Arial" w:cs="Arial"/>
        <w:sz w:val="18"/>
        <w:szCs w:val="18"/>
      </w:rPr>
    </w:pPr>
    <w:r w:rsidRPr="008B68AF">
      <w:rPr>
        <w:rFonts w:ascii="Arial" w:eastAsia="Times New Roman" w:hAnsi="Arial" w:cs="Arial"/>
        <w:sz w:val="18"/>
        <w:szCs w:val="18"/>
      </w:rPr>
      <w:t>Inge Steibl, Industriegelände 1, A-4710 Grieskirchen</w:t>
    </w:r>
    <w:r>
      <w:rPr>
        <w:rFonts w:ascii="Arial" w:eastAsia="Times New Roman" w:hAnsi="Arial" w:cs="Arial"/>
        <w:sz w:val="18"/>
        <w:szCs w:val="18"/>
      </w:rPr>
      <w:t xml:space="preserve">, </w:t>
    </w:r>
  </w:p>
  <w:p w14:paraId="0324B983" w14:textId="01A11F7F" w:rsidR="00746DAF" w:rsidRDefault="00746DAF" w:rsidP="00746DAF">
    <w:pPr>
      <w:spacing w:after="0" w:line="240" w:lineRule="auto"/>
    </w:pPr>
    <w:r w:rsidRPr="008B68AF">
      <w:rPr>
        <w:rFonts w:ascii="Arial" w:eastAsia="Times New Roman" w:hAnsi="Arial" w:cs="Arial"/>
        <w:sz w:val="18"/>
        <w:szCs w:val="18"/>
      </w:rPr>
      <w:t xml:space="preserve">Tel.: +43 7248 600-2415, E-Mail: </w:t>
    </w:r>
    <w:hyperlink r:id="rId1" w:history="1">
      <w:r w:rsidRPr="008B68AF">
        <w:rPr>
          <w:rFonts w:ascii="Arial" w:eastAsia="Times New Roman" w:hAnsi="Arial" w:cs="Arial"/>
          <w:sz w:val="18"/>
          <w:szCs w:val="18"/>
        </w:rPr>
        <w:t>inge.steibl@poettinger.at</w:t>
      </w:r>
    </w:hyperlink>
    <w:r w:rsidRPr="008B68AF">
      <w:rPr>
        <w:rFonts w:ascii="Arial" w:eastAsia="Times New Roman" w:hAnsi="Arial" w:cs="Arial"/>
        <w:sz w:val="18"/>
        <w:szCs w:val="18"/>
      </w:rPr>
      <w:t xml:space="preserve">, </w:t>
    </w:r>
    <w:hyperlink r:id="rId2" w:history="1">
      <w:r w:rsidRPr="008B68AF">
        <w:rPr>
          <w:rFonts w:ascii="Arial" w:eastAsia="Times New Roman" w:hAnsi="Arial" w:cs="Arial"/>
          <w:sz w:val="18"/>
          <w:szCs w:val="18"/>
        </w:rPr>
        <w:t>www.poettinger.at</w:t>
      </w:r>
    </w:hyperlink>
    <w:r w:rsidRPr="008B68AF">
      <w:rPr>
        <w:rFonts w:ascii="Arial" w:eastAsia="Times New Roman" w:hAnsi="Arial" w:cs="Arial"/>
        <w:sz w:val="18"/>
        <w:szCs w:val="18"/>
      </w:rPr>
      <w:tab/>
    </w:r>
    <w:r w:rsidRPr="008B68AF">
      <w:rPr>
        <w:rFonts w:ascii="Arial" w:eastAsia="Times New Roman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41EE" w14:textId="77777777" w:rsidR="00F3685B" w:rsidRDefault="00F368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C3C0" w14:textId="77777777" w:rsidR="009304FB" w:rsidRDefault="009304FB" w:rsidP="00C82208">
      <w:pPr>
        <w:spacing w:after="0" w:line="240" w:lineRule="auto"/>
      </w:pPr>
      <w:r>
        <w:separator/>
      </w:r>
    </w:p>
  </w:footnote>
  <w:footnote w:type="continuationSeparator" w:id="0">
    <w:p w14:paraId="5B43BC5A" w14:textId="77777777" w:rsidR="009304FB" w:rsidRDefault="009304FB" w:rsidP="00C8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E1DA" w14:textId="77777777" w:rsidR="00F3685B" w:rsidRDefault="00F368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54A8" w14:textId="1D7B2D2F" w:rsidR="00746DAF" w:rsidRDefault="00746DAF">
    <w:pPr>
      <w:pStyle w:val="Kopfzeile"/>
      <w:rPr>
        <w:rFonts w:ascii="Arial" w:eastAsia="Times New Roman" w:hAnsi="Arial" w:cs="Arial"/>
        <w:b/>
        <w:sz w:val="24"/>
        <w:szCs w:val="24"/>
        <w:lang w:val="en-US"/>
      </w:rPr>
    </w:pPr>
  </w:p>
  <w:p w14:paraId="00377267" w14:textId="7C610240" w:rsidR="00746DAF" w:rsidRDefault="00691160">
    <w:pPr>
      <w:pStyle w:val="Kopfzeile"/>
      <w:rPr>
        <w:rFonts w:ascii="Arial" w:eastAsia="Times New Roman" w:hAnsi="Arial" w:cs="Arial"/>
        <w:b/>
        <w:sz w:val="24"/>
        <w:szCs w:val="24"/>
        <w:lang w:val="en-US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C3B074B" wp14:editId="51CE6000">
          <wp:simplePos x="0" y="0"/>
          <wp:positionH relativeFrom="column">
            <wp:posOffset>3486150</wp:posOffset>
          </wp:positionH>
          <wp:positionV relativeFrom="paragraph">
            <wp:posOffset>98425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D234E0" w14:textId="160296D4" w:rsidR="00C82208" w:rsidRDefault="00C82208">
    <w:pPr>
      <w:pStyle w:val="Kopfzeile"/>
      <w:rPr>
        <w:rFonts w:ascii="Arial" w:eastAsia="Times New Roman" w:hAnsi="Arial" w:cs="Arial"/>
        <w:sz w:val="28"/>
        <w:szCs w:val="28"/>
        <w:lang w:val="en-US"/>
      </w:rPr>
    </w:pPr>
    <w:r>
      <w:rPr>
        <w:rFonts w:ascii="Arial" w:eastAsia="Times New Roman" w:hAnsi="Arial" w:cs="Arial"/>
        <w:b/>
        <w:sz w:val="24"/>
        <w:szCs w:val="24"/>
        <w:lang w:val="en-US"/>
      </w:rPr>
      <w:t>Presse-Information</w:t>
    </w:r>
    <w:r w:rsidRPr="008B68AF">
      <w:rPr>
        <w:rFonts w:ascii="Arial" w:eastAsia="Times New Roman" w:hAnsi="Arial" w:cs="Arial"/>
        <w:b/>
        <w:sz w:val="24"/>
        <w:szCs w:val="24"/>
        <w:lang w:val="en-US"/>
      </w:rPr>
      <w:t xml:space="preserve">    </w:t>
    </w:r>
    <w:r w:rsidRPr="008B68AF">
      <w:rPr>
        <w:rFonts w:ascii="Arial" w:eastAsia="Times New Roman" w:hAnsi="Arial" w:cs="Arial"/>
        <w:sz w:val="28"/>
        <w:szCs w:val="28"/>
        <w:lang w:val="en-US"/>
      </w:rPr>
      <w:t xml:space="preserve">   </w:t>
    </w:r>
  </w:p>
  <w:p w14:paraId="17FA8EDE" w14:textId="77777777" w:rsidR="00C82208" w:rsidRDefault="00C82208">
    <w:pPr>
      <w:pStyle w:val="Kopfzeile"/>
      <w:rPr>
        <w:rFonts w:ascii="Arial" w:eastAsia="Times New Roman" w:hAnsi="Arial" w:cs="Arial"/>
        <w:sz w:val="28"/>
        <w:szCs w:val="28"/>
        <w:lang w:val="en-US"/>
      </w:rPr>
    </w:pPr>
  </w:p>
  <w:p w14:paraId="1151AEB3" w14:textId="77777777" w:rsidR="00C82208" w:rsidRDefault="00C82208">
    <w:pPr>
      <w:pStyle w:val="Kopfzeile"/>
      <w:rPr>
        <w:rFonts w:ascii="Arial" w:eastAsia="Times New Roman" w:hAnsi="Arial" w:cs="Arial"/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3A55" w14:textId="77777777" w:rsidR="00F3685B" w:rsidRDefault="00F368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0C45"/>
    <w:multiLevelType w:val="hybridMultilevel"/>
    <w:tmpl w:val="3E303864"/>
    <w:lvl w:ilvl="0" w:tplc="238E8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56622">
    <w:abstractNumId w:val="1"/>
  </w:num>
  <w:num w:numId="2" w16cid:durableId="75760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635D3"/>
    <w:rsid w:val="000B7E6E"/>
    <w:rsid w:val="000E14BB"/>
    <w:rsid w:val="000E7A56"/>
    <w:rsid w:val="00116981"/>
    <w:rsid w:val="00137A9D"/>
    <w:rsid w:val="00151BBF"/>
    <w:rsid w:val="001914D3"/>
    <w:rsid w:val="001C7CA4"/>
    <w:rsid w:val="001E08DB"/>
    <w:rsid w:val="0022080D"/>
    <w:rsid w:val="00234361"/>
    <w:rsid w:val="00242CF9"/>
    <w:rsid w:val="00242FC2"/>
    <w:rsid w:val="00244777"/>
    <w:rsid w:val="002A08AD"/>
    <w:rsid w:val="002B0DD3"/>
    <w:rsid w:val="00365E1C"/>
    <w:rsid w:val="003D2773"/>
    <w:rsid w:val="00430776"/>
    <w:rsid w:val="00496ED0"/>
    <w:rsid w:val="004A0BA7"/>
    <w:rsid w:val="004F3367"/>
    <w:rsid w:val="00533AB7"/>
    <w:rsid w:val="00534AE0"/>
    <w:rsid w:val="005670EB"/>
    <w:rsid w:val="005A7BAC"/>
    <w:rsid w:val="005C637C"/>
    <w:rsid w:val="005C6418"/>
    <w:rsid w:val="005D2ACE"/>
    <w:rsid w:val="005D48DD"/>
    <w:rsid w:val="005E4B3B"/>
    <w:rsid w:val="005E6E24"/>
    <w:rsid w:val="005F21A0"/>
    <w:rsid w:val="005F29BF"/>
    <w:rsid w:val="005F7330"/>
    <w:rsid w:val="0060622A"/>
    <w:rsid w:val="00615C3C"/>
    <w:rsid w:val="00633ECA"/>
    <w:rsid w:val="00636C68"/>
    <w:rsid w:val="006542EC"/>
    <w:rsid w:val="00691160"/>
    <w:rsid w:val="00707D38"/>
    <w:rsid w:val="00746DAF"/>
    <w:rsid w:val="0078741B"/>
    <w:rsid w:val="00792D1E"/>
    <w:rsid w:val="007B336A"/>
    <w:rsid w:val="00860518"/>
    <w:rsid w:val="00891201"/>
    <w:rsid w:val="008C7810"/>
    <w:rsid w:val="008F3C7C"/>
    <w:rsid w:val="0090798A"/>
    <w:rsid w:val="00922C58"/>
    <w:rsid w:val="009277E1"/>
    <w:rsid w:val="009304FB"/>
    <w:rsid w:val="00930673"/>
    <w:rsid w:val="00984FE0"/>
    <w:rsid w:val="009A7581"/>
    <w:rsid w:val="00A367D5"/>
    <w:rsid w:val="00A66566"/>
    <w:rsid w:val="00A804ED"/>
    <w:rsid w:val="00A90BE0"/>
    <w:rsid w:val="00A9318C"/>
    <w:rsid w:val="00AA0D4D"/>
    <w:rsid w:val="00AA51CF"/>
    <w:rsid w:val="00AB3C74"/>
    <w:rsid w:val="00AC5A21"/>
    <w:rsid w:val="00AD7689"/>
    <w:rsid w:val="00AF74D6"/>
    <w:rsid w:val="00B82105"/>
    <w:rsid w:val="00B845E7"/>
    <w:rsid w:val="00B90255"/>
    <w:rsid w:val="00B95B27"/>
    <w:rsid w:val="00BB22E9"/>
    <w:rsid w:val="00BD22E8"/>
    <w:rsid w:val="00BD748E"/>
    <w:rsid w:val="00C12865"/>
    <w:rsid w:val="00C37045"/>
    <w:rsid w:val="00C82208"/>
    <w:rsid w:val="00CC2FF2"/>
    <w:rsid w:val="00CF27B3"/>
    <w:rsid w:val="00D02B12"/>
    <w:rsid w:val="00D52FF2"/>
    <w:rsid w:val="00D54461"/>
    <w:rsid w:val="00D61A84"/>
    <w:rsid w:val="00E1507C"/>
    <w:rsid w:val="00EB2032"/>
    <w:rsid w:val="00EC7EC7"/>
    <w:rsid w:val="00F3685B"/>
    <w:rsid w:val="00F42E5A"/>
    <w:rsid w:val="00F56C00"/>
    <w:rsid w:val="00F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208"/>
  </w:style>
  <w:style w:type="paragraph" w:styleId="Fuzeile">
    <w:name w:val="footer"/>
    <w:basedOn w:val="Standard"/>
    <w:link w:val="FuzeileZchn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208"/>
  </w:style>
  <w:style w:type="table" w:styleId="Tabellenraster">
    <w:name w:val="Table Grid"/>
    <w:basedOn w:val="NormaleTabelle"/>
    <w:rsid w:val="0074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46D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6DAF"/>
    <w:rPr>
      <w:color w:val="605E5C"/>
      <w:shd w:val="clear" w:color="auto" w:fill="E1DFDD"/>
    </w:rPr>
  </w:style>
  <w:style w:type="paragraph" w:customStyle="1" w:styleId="CP">
    <w:name w:val="CP"/>
    <w:basedOn w:val="Standard"/>
    <w:next w:val="Standard"/>
    <w:uiPriority w:val="99"/>
    <w:rsid w:val="00FB41E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</w:rPr>
  </w:style>
  <w:style w:type="paragraph" w:customStyle="1" w:styleId="KeinAbsatzformat">
    <w:name w:val="[Kein Absatzformat]"/>
    <w:rsid w:val="00FB41E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P">
    <w:name w:val="BP"/>
    <w:basedOn w:val="CP"/>
    <w:uiPriority w:val="99"/>
    <w:rsid w:val="00FB41EB"/>
    <w:pPr>
      <w:tabs>
        <w:tab w:val="clear" w:pos="170"/>
        <w:tab w:val="left" w:pos="283"/>
      </w:tabs>
      <w:spacing w:line="180" w:lineRule="atLeast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0208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0208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20151-6D7B-4F0E-96C2-72B9AE7A3715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E8856A62-C0B6-4F3C-A2A9-853205702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31F70-1534-4F5C-8830-7BF66773BA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TERRADISC Verteilsystem Fronttank</dc:title>
  <dc:subject>AEROSEM VT</dc:subject>
  <dc:creator>Ammon Felix</dc:creator>
  <cp:keywords/>
  <dc:description/>
  <cp:lastModifiedBy>Steibl Inge</cp:lastModifiedBy>
  <cp:revision>18</cp:revision>
  <cp:lastPrinted>2021-06-29T05:52:00Z</cp:lastPrinted>
  <dcterms:created xsi:type="dcterms:W3CDTF">2023-05-10T09:00:00Z</dcterms:created>
  <dcterms:modified xsi:type="dcterms:W3CDTF">2023-07-18T09:51:00Z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