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E063" w14:textId="77777777" w:rsidR="006306CA" w:rsidRPr="005A7BAC" w:rsidRDefault="006306CA" w:rsidP="006306CA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>Wszystko podczas jednego przejazdu:</w:t>
      </w:r>
    </w:p>
    <w:p w14:paraId="1A91F79B" w14:textId="77777777" w:rsidR="005A7BAC" w:rsidRPr="005A7BAC" w:rsidRDefault="005E6E24" w:rsidP="00C82208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TERRIA z podsiewem nawozu oraz AMICO F </w:t>
      </w:r>
    </w:p>
    <w:p w14:paraId="6CD4AD47" w14:textId="1E65668F" w:rsidR="005A7BAC" w:rsidRPr="006306CA" w:rsidRDefault="00FB41EB" w:rsidP="00C82208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Trwałość i zrównoważone gospodarowanie zasobami naturalnymi   gwarancj</w:t>
      </w:r>
      <w:r w:rsidR="006C715F">
        <w:rPr>
          <w:rFonts w:ascii="Arial" w:hAnsi="Arial"/>
          <w:sz w:val="30"/>
          <w:szCs w:val="30"/>
        </w:rPr>
        <w:t>ą</w:t>
      </w:r>
      <w:r>
        <w:rPr>
          <w:rFonts w:ascii="Arial" w:hAnsi="Arial"/>
          <w:sz w:val="30"/>
          <w:szCs w:val="30"/>
        </w:rPr>
        <w:t xml:space="preserve"> efektywnego wzrostu roślin</w:t>
      </w:r>
    </w:p>
    <w:p w14:paraId="360870EF" w14:textId="77777777" w:rsidR="00E1507C" w:rsidRDefault="00E1507C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E14947" w14:textId="18374ED3" w:rsidR="00FB41EB" w:rsidRPr="00FB41EB" w:rsidRDefault="00FB41EB" w:rsidP="00FB41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Wykorzystanie zasobów naturalnych powinno </w:t>
      </w:r>
      <w:r w:rsidR="00BD7AB7">
        <w:rPr>
          <w:rFonts w:ascii="Arial" w:hAnsi="Arial"/>
          <w:sz w:val="24"/>
          <w:szCs w:val="24"/>
        </w:rPr>
        <w:t xml:space="preserve">odbywać się </w:t>
      </w:r>
      <w:r>
        <w:rPr>
          <w:rFonts w:ascii="Arial" w:hAnsi="Arial"/>
          <w:sz w:val="24"/>
          <w:szCs w:val="24"/>
        </w:rPr>
        <w:t>na całym świecie</w:t>
      </w:r>
      <w:r w:rsidR="00BD7AB7">
        <w:rPr>
          <w:rFonts w:ascii="Arial" w:hAnsi="Arial"/>
          <w:sz w:val="24"/>
          <w:szCs w:val="24"/>
        </w:rPr>
        <w:t xml:space="preserve"> w sposób bardziej świadomy i efektywny</w:t>
      </w:r>
      <w:r>
        <w:rPr>
          <w:rFonts w:ascii="Arial" w:hAnsi="Arial"/>
          <w:sz w:val="24"/>
          <w:szCs w:val="24"/>
        </w:rPr>
        <w:t>. Kierując się tą myślą PÖTTINGER połączył ciągany kultywator TERRIA z przednim zbiornikiem AMICO F dla zapewnienia trybu pracy, który chroni zasoby naturalne. Ta kombinacja pozwala na uprawianie gleby i jednoczesne wysianie nawozu podczas jednego przejazdu.</w:t>
      </w:r>
    </w:p>
    <w:p w14:paraId="69C51B6E" w14:textId="77777777" w:rsidR="00E1507C" w:rsidRDefault="00E1507C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BA47DE" w14:textId="77777777" w:rsidR="00FB41EB" w:rsidRDefault="00FB41EB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Praca chroniąca zasoby naturalne</w:t>
      </w:r>
    </w:p>
    <w:p w14:paraId="0A63E1A0" w14:textId="02195C1B" w:rsidR="00FB41EB" w:rsidRPr="00FB41EB" w:rsidRDefault="00FB41EB" w:rsidP="00FB41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Celem tej kombinacji jest spulchnienie gleby oraz równoczesne wysianie nawozu, ponieważ bezpośrednie odłożenie n</w:t>
      </w:r>
      <w:r w:rsidR="005B4BF7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wozu w glebie daje najlepsze efekty. Nie dochodzi wówczas do wypłukiwania nawozu. Dzięki temu można precyzyjnie uzupełnić braki substancji odżywczych w różnych warstwach gleby. Odłożony w glebie nawóz sprzyja rozrostowi korzeni.</w:t>
      </w:r>
      <w:r w:rsidR="0016663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Dobrze rozbudowany system korzeniowy wspomaga wzrost roślin, w tym szczególnie zwiększa </w:t>
      </w:r>
      <w:r w:rsidR="009A3DE4">
        <w:rPr>
          <w:rFonts w:ascii="Arial" w:hAnsi="Arial"/>
          <w:sz w:val="24"/>
          <w:szCs w:val="24"/>
        </w:rPr>
        <w:t>stabilność</w:t>
      </w:r>
      <w:r>
        <w:rPr>
          <w:rFonts w:ascii="Arial" w:hAnsi="Arial"/>
          <w:sz w:val="24"/>
          <w:szCs w:val="24"/>
        </w:rPr>
        <w:t xml:space="preserve"> rośliny.</w:t>
      </w:r>
    </w:p>
    <w:p w14:paraId="34D35FAA" w14:textId="77777777" w:rsidR="00FB41EB" w:rsidRDefault="00FB41EB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09BA80" w14:textId="77777777" w:rsidR="005D2ACE" w:rsidRPr="00E1507C" w:rsidRDefault="009277E1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Kultywatorowanie bez wysiłku</w:t>
      </w:r>
    </w:p>
    <w:p w14:paraId="7BE7901B" w14:textId="77777777" w:rsidR="00C939F3" w:rsidRDefault="00FB41EB" w:rsidP="00BB22E9">
      <w:pPr>
        <w:pStyle w:val="CP"/>
        <w:spacing w:line="360" w:lineRule="auto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TERRIA z podsiewem nawozu może być wykorzystana zarówno do podorywki, jak i do głębokiego spulchniania.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auto"/>
          <w:sz w:val="24"/>
          <w:szCs w:val="24"/>
        </w:rPr>
        <w:t xml:space="preserve">Szeroki rozstaw znaczników kultywatora TERRIA umożliwia niezawodną pracę również, gdy na polu zalega duża ilość masy organicznej. Wmieszanie resztek pożniwnych i zazielenień następuje przez różnego rodzaju dłuta - redlica do nawozu może być zamontowana na stałe. </w:t>
      </w:r>
    </w:p>
    <w:p w14:paraId="1B820152" w14:textId="65795CBC" w:rsidR="00C939F3" w:rsidRDefault="00FB41EB" w:rsidP="00BB22E9">
      <w:pPr>
        <w:pStyle w:val="CP"/>
        <w:spacing w:line="360" w:lineRule="auto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Dzięki różnym punktom podawania nawozu poszczególne warstwy gleby są zaopatrywane w nawóz w zależności od potrzeb. </w:t>
      </w:r>
    </w:p>
    <w:p w14:paraId="0C448DC1" w14:textId="54B0BE51" w:rsidR="00FB41EB" w:rsidRDefault="00FB41EB" w:rsidP="00BB22E9">
      <w:pPr>
        <w:pStyle w:val="CP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Łącznie można ustawić trzy głębokości odkładania nawozu, które zostały opisane w poniższy sposób.</w:t>
      </w:r>
    </w:p>
    <w:p w14:paraId="1957788E" w14:textId="77777777" w:rsidR="005D2ACE" w:rsidRPr="00E1507C" w:rsidRDefault="009277E1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Opis top-</w:t>
      </w:r>
      <w:proofErr w:type="spellStart"/>
      <w:r>
        <w:rPr>
          <w:rFonts w:ascii="Arial" w:hAnsi="Arial"/>
          <w:b/>
          <w:bCs/>
          <w:sz w:val="24"/>
          <w:szCs w:val="24"/>
        </w:rPr>
        <w:t>placement</w:t>
      </w:r>
      <w:proofErr w:type="spellEnd"/>
    </w:p>
    <w:p w14:paraId="4BB8953C" w14:textId="77777777" w:rsidR="009277E1" w:rsidRPr="009277E1" w:rsidRDefault="009277E1" w:rsidP="009277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Wylot na redlicy nawozowej  jest w tym przypadku ustawiony na - w 100% na górze - przez co nasiona w górnej warstwie gleby są bezpośrednio domieszane na ok. 0 do 5 cm. Punkt odłożenia znajduje się tuż za grządzielą kultywatora. To rozwiązanie może być stosowane do nawożenia wczesną wiosną podczas przygotowywania gleby do siewu. Dzięki natychmiastowemu pokryciu możliwe jest uniknięcie strat emisyjnych.</w:t>
      </w:r>
    </w:p>
    <w:p w14:paraId="0341FABD" w14:textId="77777777" w:rsidR="00E1507C" w:rsidRDefault="00E1507C" w:rsidP="00C82208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153CD345" w14:textId="77777777" w:rsidR="005D2ACE" w:rsidRPr="00E1507C" w:rsidRDefault="009277E1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Opis </w:t>
      </w:r>
      <w:proofErr w:type="spellStart"/>
      <w:r>
        <w:rPr>
          <w:rFonts w:ascii="Arial" w:hAnsi="Arial"/>
          <w:b/>
          <w:bCs/>
          <w:sz w:val="24"/>
          <w:szCs w:val="24"/>
        </w:rPr>
        <w:t>mixed-placement</w:t>
      </w:r>
      <w:proofErr w:type="spellEnd"/>
    </w:p>
    <w:p w14:paraId="5981B0CB" w14:textId="57AE0403" w:rsidR="009277E1" w:rsidRPr="009277E1" w:rsidRDefault="009277E1" w:rsidP="009277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Ustawienie na - 50% materiału na górze i 50% na dole - w efekcie wysiew następuje w górnej, jak i w dolnej warstwie. Rozłożenie nawozu następuj</w:t>
      </w:r>
      <w:r w:rsidR="00BD7AB7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tu na całej głębokości pracy - optymalnie nadaje się do kompensacyjnego zadawania nawozów fosforowych. Wysiew przy podstawowej uprawie gleby jesienią, z głębokością pracy od 15 cm.</w:t>
      </w:r>
    </w:p>
    <w:p w14:paraId="5F684B76" w14:textId="77777777" w:rsidR="00E1507C" w:rsidRDefault="00E1507C" w:rsidP="00C82208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F23E767" w14:textId="77777777" w:rsidR="008C7810" w:rsidRPr="00E1507C" w:rsidRDefault="009277E1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Opis down-</w:t>
      </w:r>
      <w:proofErr w:type="spellStart"/>
      <w:r>
        <w:rPr>
          <w:rFonts w:ascii="Arial" w:hAnsi="Arial"/>
          <w:b/>
          <w:bCs/>
          <w:sz w:val="24"/>
          <w:szCs w:val="24"/>
        </w:rPr>
        <w:t>placement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</w:p>
    <w:p w14:paraId="5F7125B8" w14:textId="3ADE46AF" w:rsidR="009277E1" w:rsidRPr="009277E1" w:rsidRDefault="009277E1" w:rsidP="009277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Cały materiał jest wysiewany w dolnej warstwie, punkt zadawania znajduje się na głębokości podeszwy płużnej. Dzięki temu nawóz trafia do dolnych warstw gleby, na głębokość do 35 cm. Gleba jest </w:t>
      </w:r>
      <w:r w:rsidR="00C939F3">
        <w:rPr>
          <w:rFonts w:ascii="Arial" w:hAnsi="Arial"/>
          <w:sz w:val="24"/>
          <w:szCs w:val="24"/>
        </w:rPr>
        <w:t xml:space="preserve">przez to </w:t>
      </w:r>
      <w:r>
        <w:rPr>
          <w:rFonts w:ascii="Arial" w:hAnsi="Arial"/>
          <w:sz w:val="24"/>
          <w:szCs w:val="24"/>
        </w:rPr>
        <w:t xml:space="preserve">głęboko spulchniona. Najlepiej stosować nawozy azotowe - eliminacja strat związanych z emisją. Pozwala to </w:t>
      </w:r>
      <w:r w:rsidR="00C939F3">
        <w:rPr>
          <w:rFonts w:ascii="Arial" w:hAnsi="Arial"/>
          <w:sz w:val="24"/>
          <w:szCs w:val="24"/>
        </w:rPr>
        <w:t xml:space="preserve">również </w:t>
      </w:r>
      <w:r>
        <w:rPr>
          <w:rFonts w:ascii="Arial" w:hAnsi="Arial"/>
          <w:sz w:val="24"/>
          <w:szCs w:val="24"/>
        </w:rPr>
        <w:t>na wyeliminowanie dodatkowych niedoborów składników odżywczych.</w:t>
      </w:r>
    </w:p>
    <w:p w14:paraId="12C0F2BE" w14:textId="77777777" w:rsidR="00E1507C" w:rsidRPr="00C82208" w:rsidRDefault="00E1507C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2D0FE9" w14:textId="77777777" w:rsidR="008C7810" w:rsidRPr="00E1507C" w:rsidRDefault="009277E1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AMICO F</w:t>
      </w:r>
    </w:p>
    <w:p w14:paraId="67EC7091" w14:textId="77777777" w:rsidR="00C939F3" w:rsidRDefault="006542EC" w:rsidP="006542EC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Pojemność zbiornika 1.700 lub 2.400 litrów oraz podział zbiornika w stosunku 60:40 otwiera szerokie możliwości zastosowania zbiornika przedniego. Aby zapewnić komfortową pracę, zbiornik AMICO jest seryjne wyposażony w ISOBUS. Wysiew następuje w systemie zbiornika pneumatycznego metodą Single </w:t>
      </w:r>
      <w:proofErr w:type="spellStart"/>
      <w:r>
        <w:rPr>
          <w:rFonts w:ascii="Arial" w:hAnsi="Arial"/>
          <w:sz w:val="24"/>
          <w:szCs w:val="24"/>
        </w:rPr>
        <w:t>Shoot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14:paraId="533268A3" w14:textId="5F8EC9A9" w:rsidR="00C939F3" w:rsidRDefault="006542EC" w:rsidP="006542EC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Elementy dozowania </w:t>
      </w:r>
      <w:r w:rsidR="00E57FF8">
        <w:rPr>
          <w:rFonts w:ascii="Arial" w:hAnsi="Arial"/>
          <w:sz w:val="24"/>
          <w:szCs w:val="24"/>
        </w:rPr>
        <w:t>są obsługiwane za pomocą</w:t>
      </w:r>
      <w:r>
        <w:rPr>
          <w:rFonts w:ascii="Arial" w:hAnsi="Arial"/>
          <w:sz w:val="24"/>
          <w:szCs w:val="24"/>
        </w:rPr>
        <w:t xml:space="preserve"> inteligentne</w:t>
      </w:r>
      <w:r w:rsidR="00E57FF8">
        <w:rPr>
          <w:rFonts w:ascii="Arial" w:hAnsi="Arial"/>
          <w:sz w:val="24"/>
          <w:szCs w:val="24"/>
        </w:rPr>
        <w:t>go</w:t>
      </w:r>
      <w:r>
        <w:rPr>
          <w:rFonts w:ascii="Arial" w:hAnsi="Arial"/>
          <w:sz w:val="24"/>
          <w:szCs w:val="24"/>
        </w:rPr>
        <w:t xml:space="preserve"> sterowani</w:t>
      </w:r>
      <w:r w:rsidR="00E57FF8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na powierzchniach częściowych - zarówno przy jednym, jak i dwóch komponentach dozowania. </w:t>
      </w:r>
    </w:p>
    <w:p w14:paraId="4EC8098D" w14:textId="74A759F1" w:rsidR="006542EC" w:rsidRDefault="006542EC" w:rsidP="006542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Ponadto zbiornik, dzięki sterowaniu ISOBUS, może współpracować również z urządzeniami innych producentów.</w:t>
      </w:r>
    </w:p>
    <w:p w14:paraId="6B2350FE" w14:textId="77777777" w:rsidR="00D4262F" w:rsidRPr="006542EC" w:rsidRDefault="00D4262F" w:rsidP="006542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536A8F" w14:textId="77777777" w:rsidR="00166638" w:rsidRDefault="00166638" w:rsidP="00746DAF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14:paraId="44E71A42" w14:textId="21EF3866" w:rsidR="00746DAF" w:rsidRDefault="00746DAF" w:rsidP="00746D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Podgląd zdjęć:</w:t>
      </w:r>
    </w:p>
    <w:p w14:paraId="70E724B9" w14:textId="77777777" w:rsidR="00746DAF" w:rsidRDefault="00746DAF" w:rsidP="00746DAF">
      <w:pPr>
        <w:spacing w:after="0" w:line="240" w:lineRule="auto"/>
        <w:rPr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6DAF" w14:paraId="556A2B7A" w14:textId="77777777" w:rsidTr="0041420D">
        <w:tc>
          <w:tcPr>
            <w:tcW w:w="4531" w:type="dxa"/>
          </w:tcPr>
          <w:p w14:paraId="6E78C9BC" w14:textId="77777777" w:rsidR="00746DAF" w:rsidRDefault="00746DAF" w:rsidP="0041420D">
            <w:pPr>
              <w:jc w:val="center"/>
              <w:rPr>
                <w:noProof/>
              </w:rPr>
            </w:pPr>
          </w:p>
          <w:p w14:paraId="2AE02D4E" w14:textId="77777777" w:rsidR="00746DAF" w:rsidRDefault="004057F9" w:rsidP="004142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41EC21" wp14:editId="730C946A">
                  <wp:extent cx="1466850" cy="979122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293" cy="98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36D47C" w14:textId="77777777" w:rsidR="00746DAF" w:rsidRDefault="00746DAF" w:rsidP="0041420D">
            <w:pPr>
              <w:jc w:val="center"/>
              <w:rPr>
                <w:noProof/>
              </w:rPr>
            </w:pPr>
          </w:p>
        </w:tc>
        <w:tc>
          <w:tcPr>
            <w:tcW w:w="4531" w:type="dxa"/>
          </w:tcPr>
          <w:p w14:paraId="5382A05E" w14:textId="77777777" w:rsidR="00746DAF" w:rsidRDefault="00746DAF" w:rsidP="0041420D">
            <w:pPr>
              <w:jc w:val="center"/>
              <w:rPr>
                <w:noProof/>
              </w:rPr>
            </w:pPr>
          </w:p>
          <w:p w14:paraId="554F11C9" w14:textId="77777777" w:rsidR="00746DAF" w:rsidRDefault="002F3E1A" w:rsidP="004142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A68BF6" wp14:editId="4454341C">
                  <wp:extent cx="1476375" cy="985480"/>
                  <wp:effectExtent l="0" t="0" r="0" b="571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180" cy="99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DAF" w:rsidRPr="00C939F3" w14:paraId="6A83581A" w14:textId="77777777" w:rsidTr="0041420D">
        <w:tc>
          <w:tcPr>
            <w:tcW w:w="4531" w:type="dxa"/>
          </w:tcPr>
          <w:p w14:paraId="6512D0E4" w14:textId="7CB837F4" w:rsidR="00746DAF" w:rsidRPr="006306CA" w:rsidRDefault="006542EC" w:rsidP="0041420D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Nawożenie i uprawa gleby </w:t>
            </w:r>
            <w:r w:rsidR="00C939F3">
              <w:rPr>
                <w:rFonts w:ascii="Arial" w:hAnsi="Arial"/>
                <w:sz w:val="22"/>
                <w:szCs w:val="22"/>
              </w:rPr>
              <w:t>podczas jednego przejazdu</w:t>
            </w:r>
          </w:p>
        </w:tc>
        <w:tc>
          <w:tcPr>
            <w:tcW w:w="4531" w:type="dxa"/>
          </w:tcPr>
          <w:p w14:paraId="1DE4B869" w14:textId="113FE6E4" w:rsidR="00746DAF" w:rsidRPr="00C939F3" w:rsidRDefault="006542EC" w:rsidP="004142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9F3">
              <w:rPr>
                <w:rFonts w:ascii="Arial" w:hAnsi="Arial"/>
                <w:sz w:val="22"/>
                <w:szCs w:val="22"/>
              </w:rPr>
              <w:t xml:space="preserve">Zbiornik AMICO F i TERRIA </w:t>
            </w:r>
            <w:r w:rsidR="00C939F3">
              <w:rPr>
                <w:rFonts w:ascii="Arial" w:hAnsi="Arial"/>
                <w:sz w:val="22"/>
                <w:szCs w:val="22"/>
              </w:rPr>
              <w:t xml:space="preserve">z </w:t>
            </w:r>
            <w:r w:rsidR="00C939F3" w:rsidRPr="00C939F3">
              <w:rPr>
                <w:rFonts w:ascii="Arial" w:hAnsi="Arial"/>
                <w:sz w:val="22"/>
                <w:szCs w:val="22"/>
              </w:rPr>
              <w:t>podsiewem</w:t>
            </w:r>
            <w:r w:rsidR="00C939F3">
              <w:rPr>
                <w:rFonts w:ascii="Arial" w:hAnsi="Arial"/>
                <w:sz w:val="22"/>
                <w:szCs w:val="22"/>
              </w:rPr>
              <w:t xml:space="preserve"> nawozu</w:t>
            </w:r>
          </w:p>
        </w:tc>
      </w:tr>
      <w:tr w:rsidR="00746DAF" w:rsidRPr="001D303D" w14:paraId="2671869F" w14:textId="77777777" w:rsidTr="0041420D">
        <w:tc>
          <w:tcPr>
            <w:tcW w:w="4531" w:type="dxa"/>
          </w:tcPr>
          <w:p w14:paraId="4BD7D3FB" w14:textId="77777777" w:rsidR="00746DAF" w:rsidRDefault="00DC29F3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  <w:hyperlink r:id="rId12" w:history="1">
              <w:r w:rsidR="00D4262F">
                <w:rPr>
                  <w:rStyle w:val="Hyperlink"/>
                  <w:rFonts w:ascii="Arial" w:hAnsi="Arial"/>
                </w:rPr>
                <w:t>https://www.poettinger.at/de_at/newsroom/pressebild/68750</w:t>
              </w:r>
            </w:hyperlink>
          </w:p>
          <w:p w14:paraId="31EC2BA9" w14:textId="77777777" w:rsidR="00D0665E" w:rsidRPr="001D303D" w:rsidRDefault="00D0665E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</w:p>
        </w:tc>
        <w:tc>
          <w:tcPr>
            <w:tcW w:w="4531" w:type="dxa"/>
          </w:tcPr>
          <w:p w14:paraId="4C53C650" w14:textId="77777777" w:rsidR="00746DAF" w:rsidRDefault="00DC29F3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  <w:hyperlink r:id="rId13" w:history="1">
              <w:r w:rsidR="00D4262F">
                <w:rPr>
                  <w:rStyle w:val="Hyperlink"/>
                  <w:rFonts w:ascii="Arial" w:hAnsi="Arial"/>
                </w:rPr>
                <w:t>https://www.poettinger.at/de_at/newsroom/pressebild/41826</w:t>
              </w:r>
            </w:hyperlink>
          </w:p>
          <w:p w14:paraId="44EBD5AF" w14:textId="77777777" w:rsidR="002F3E1A" w:rsidRPr="001D303D" w:rsidRDefault="002F3E1A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</w:p>
        </w:tc>
      </w:tr>
    </w:tbl>
    <w:p w14:paraId="6C4658C0" w14:textId="77777777" w:rsidR="00746DAF" w:rsidRPr="001D303D" w:rsidRDefault="00746DAF" w:rsidP="00746DAF">
      <w:pPr>
        <w:spacing w:after="0" w:line="240" w:lineRule="auto"/>
        <w:rPr>
          <w:noProof/>
          <w:color w:val="FF00FF"/>
        </w:rPr>
      </w:pPr>
    </w:p>
    <w:p w14:paraId="61C7B988" w14:textId="77777777" w:rsidR="00746DAF" w:rsidRDefault="00746DAF" w:rsidP="00746D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2572F1" w14:textId="0F6012DA" w:rsidR="00746DAF" w:rsidRDefault="00746DAF" w:rsidP="00746DAF">
      <w:pPr>
        <w:jc w:val="both"/>
        <w:rPr>
          <w:rFonts w:ascii="Arial" w:hAnsi="Arial" w:cs="Arial"/>
        </w:rPr>
      </w:pPr>
      <w:r>
        <w:rPr>
          <w:rFonts w:ascii="Arial" w:hAnsi="Arial"/>
        </w:rPr>
        <w:t>Pozostałe zdjęcia w jakości do druku:</w:t>
      </w:r>
      <w:r w:rsidR="00C939F3">
        <w:rPr>
          <w:rFonts w:ascii="Arial" w:hAnsi="Arial"/>
        </w:rPr>
        <w:t xml:space="preserve"> </w:t>
      </w:r>
      <w:hyperlink r:id="rId14" w:history="1">
        <w:r w:rsidR="00C939F3" w:rsidRPr="00D6184F">
          <w:rPr>
            <w:rStyle w:val="Hyperlink"/>
            <w:rFonts w:ascii="Arial" w:hAnsi="Arial"/>
          </w:rPr>
          <w:t>http://www.poettinger.at/presse</w:t>
        </w:r>
      </w:hyperlink>
    </w:p>
    <w:p w14:paraId="25B76DE8" w14:textId="77777777" w:rsidR="00746DAF" w:rsidRPr="001D303D" w:rsidRDefault="00746DAF" w:rsidP="00746DAF">
      <w:pPr>
        <w:jc w:val="both"/>
        <w:rPr>
          <w:rFonts w:ascii="Arial" w:hAnsi="Arial" w:cs="Arial"/>
        </w:rPr>
      </w:pPr>
    </w:p>
    <w:p w14:paraId="09001568" w14:textId="77777777" w:rsidR="00746DAF" w:rsidRPr="00C82208" w:rsidRDefault="00746DAF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46DAF" w:rsidRPr="00C8220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82F5" w14:textId="77777777" w:rsidR="009B05DF" w:rsidRDefault="009B05DF" w:rsidP="00C82208">
      <w:pPr>
        <w:spacing w:after="0" w:line="240" w:lineRule="auto"/>
      </w:pPr>
      <w:r>
        <w:separator/>
      </w:r>
    </w:p>
  </w:endnote>
  <w:endnote w:type="continuationSeparator" w:id="0">
    <w:p w14:paraId="5E812979" w14:textId="77777777" w:rsidR="009B05DF" w:rsidRDefault="009B05DF" w:rsidP="00C8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F85B" w14:textId="77777777" w:rsidR="00166638" w:rsidRDefault="001666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03DF" w14:textId="77777777" w:rsidR="00746D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308E3ABC" w14:textId="77777777" w:rsidR="00746D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5B700507" w14:textId="77777777" w:rsidR="00746DAF" w:rsidRPr="008B68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PÖTTINGER Polska Sp. z o.o.</w:t>
    </w:r>
  </w:p>
  <w:p w14:paraId="737DC95D" w14:textId="5A442F94" w:rsidR="00746DAF" w:rsidRDefault="00746DAF" w:rsidP="00746DAF">
    <w:pPr>
      <w:spacing w:after="0" w:line="240" w:lineRule="auto"/>
    </w:pPr>
    <w:r>
      <w:rPr>
        <w:rFonts w:ascii="Arial" w:hAnsi="Arial"/>
        <w:sz w:val="18"/>
        <w:szCs w:val="18"/>
      </w:rPr>
      <w:t xml:space="preserve">Edyta Tyrakowska, ul. Skawińska 22, 61-333 Poznań, tel. +48 603 770 957 </w:t>
    </w:r>
    <w:hyperlink r:id="rId1" w:history="1">
      <w:r w:rsidR="003F5895" w:rsidRPr="00105BBE">
        <w:rPr>
          <w:rStyle w:val="Hyperlink"/>
          <w:rFonts w:ascii="Arial" w:hAnsi="Arial"/>
          <w:sz w:val="18"/>
          <w:szCs w:val="18"/>
        </w:rPr>
        <w:t>edyta.tyrakowska@poettinger.at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B637" w14:textId="77777777" w:rsidR="00166638" w:rsidRDefault="001666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8498" w14:textId="77777777" w:rsidR="009B05DF" w:rsidRDefault="009B05DF" w:rsidP="00C82208">
      <w:pPr>
        <w:spacing w:after="0" w:line="240" w:lineRule="auto"/>
      </w:pPr>
      <w:r>
        <w:separator/>
      </w:r>
    </w:p>
  </w:footnote>
  <w:footnote w:type="continuationSeparator" w:id="0">
    <w:p w14:paraId="7E4B5874" w14:textId="77777777" w:rsidR="009B05DF" w:rsidRDefault="009B05DF" w:rsidP="00C8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67E2" w14:textId="77777777" w:rsidR="00166638" w:rsidRDefault="001666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EF68" w14:textId="77777777" w:rsidR="00746DAF" w:rsidRDefault="00746DAF">
    <w:pPr>
      <w:pStyle w:val="Kopfzeile"/>
      <w:rPr>
        <w:rFonts w:ascii="Arial" w:eastAsia="Times New Roman" w:hAnsi="Arial" w:cs="Arial"/>
        <w:b/>
        <w:sz w:val="24"/>
        <w:szCs w:val="24"/>
        <w:lang w:val="en-US"/>
      </w:rPr>
    </w:pPr>
  </w:p>
  <w:p w14:paraId="5B352EC3" w14:textId="77777777" w:rsidR="00746DAF" w:rsidRDefault="006306CA">
    <w:pPr>
      <w:pStyle w:val="Kopfzeile"/>
      <w:rPr>
        <w:rFonts w:ascii="Arial" w:eastAsia="Times New Roman" w:hAnsi="Arial" w:cs="Arial"/>
        <w:b/>
        <w:sz w:val="24"/>
        <w:szCs w:val="24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0" locked="0" layoutInCell="1" allowOverlap="1" wp14:anchorId="243D50EC" wp14:editId="5F563032">
          <wp:simplePos x="0" y="0"/>
          <wp:positionH relativeFrom="column">
            <wp:posOffset>3412885</wp:posOffset>
          </wp:positionH>
          <wp:positionV relativeFrom="paragraph">
            <wp:posOffset>82275</wp:posOffset>
          </wp:positionV>
          <wp:extent cx="2186305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4FE1B5" w14:textId="77777777" w:rsidR="00C82208" w:rsidRDefault="00C82208">
    <w:pPr>
      <w:pStyle w:val="Kopfzeile"/>
      <w:rPr>
        <w:rFonts w:ascii="Arial" w:eastAsia="Times New Roman" w:hAnsi="Arial" w:cs="Arial"/>
        <w:sz w:val="28"/>
        <w:szCs w:val="28"/>
      </w:rPr>
    </w:pPr>
    <w:r>
      <w:rPr>
        <w:rFonts w:ascii="Arial" w:hAnsi="Arial"/>
        <w:b/>
        <w:sz w:val="24"/>
        <w:szCs w:val="24"/>
      </w:rPr>
      <w:t xml:space="preserve">Informacja prasowa    </w:t>
    </w:r>
    <w:r>
      <w:rPr>
        <w:rFonts w:ascii="Arial" w:hAnsi="Arial"/>
        <w:sz w:val="28"/>
        <w:szCs w:val="28"/>
      </w:rPr>
      <w:t xml:space="preserve">   </w:t>
    </w:r>
  </w:p>
  <w:p w14:paraId="6D92A1AF" w14:textId="77777777" w:rsidR="00C82208" w:rsidRDefault="00C82208">
    <w:pPr>
      <w:pStyle w:val="Kopfzeile"/>
      <w:rPr>
        <w:rFonts w:ascii="Arial" w:eastAsia="Times New Roman" w:hAnsi="Arial" w:cs="Arial"/>
        <w:sz w:val="28"/>
        <w:szCs w:val="28"/>
        <w:lang w:val="en-US"/>
      </w:rPr>
    </w:pPr>
  </w:p>
  <w:p w14:paraId="2D51BAF9" w14:textId="77777777" w:rsidR="00C82208" w:rsidRDefault="00C82208">
    <w:pPr>
      <w:pStyle w:val="Kopfzeile"/>
      <w:rPr>
        <w:rFonts w:ascii="Arial" w:eastAsia="Times New Roman" w:hAnsi="Arial" w:cs="Arial"/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8A95" w14:textId="77777777" w:rsidR="00166638" w:rsidRDefault="001666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B0C45"/>
    <w:multiLevelType w:val="hybridMultilevel"/>
    <w:tmpl w:val="3E303864"/>
    <w:lvl w:ilvl="0" w:tplc="238E8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56622">
    <w:abstractNumId w:val="1"/>
  </w:num>
  <w:num w:numId="2" w16cid:durableId="75760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635D3"/>
    <w:rsid w:val="000B7E6E"/>
    <w:rsid w:val="000E7A56"/>
    <w:rsid w:val="00166638"/>
    <w:rsid w:val="001C7CA4"/>
    <w:rsid w:val="001E08DB"/>
    <w:rsid w:val="00234361"/>
    <w:rsid w:val="00242CF9"/>
    <w:rsid w:val="00242FC2"/>
    <w:rsid w:val="00244777"/>
    <w:rsid w:val="00250895"/>
    <w:rsid w:val="00281AE3"/>
    <w:rsid w:val="002A08AD"/>
    <w:rsid w:val="002F3E1A"/>
    <w:rsid w:val="00365E1C"/>
    <w:rsid w:val="003D2773"/>
    <w:rsid w:val="003F5895"/>
    <w:rsid w:val="004057F9"/>
    <w:rsid w:val="00422B11"/>
    <w:rsid w:val="00430776"/>
    <w:rsid w:val="00496ED0"/>
    <w:rsid w:val="004F3367"/>
    <w:rsid w:val="00520098"/>
    <w:rsid w:val="00533AB7"/>
    <w:rsid w:val="005A7BAC"/>
    <w:rsid w:val="005B4BF7"/>
    <w:rsid w:val="005D2ACE"/>
    <w:rsid w:val="005D48DD"/>
    <w:rsid w:val="005E6E24"/>
    <w:rsid w:val="006306CA"/>
    <w:rsid w:val="00636C68"/>
    <w:rsid w:val="006542EC"/>
    <w:rsid w:val="006C715F"/>
    <w:rsid w:val="00746DAF"/>
    <w:rsid w:val="00860518"/>
    <w:rsid w:val="008C7810"/>
    <w:rsid w:val="0090798A"/>
    <w:rsid w:val="009277E1"/>
    <w:rsid w:val="00930673"/>
    <w:rsid w:val="00984FE0"/>
    <w:rsid w:val="009A3DE4"/>
    <w:rsid w:val="009B05DF"/>
    <w:rsid w:val="00A804ED"/>
    <w:rsid w:val="00A90BE0"/>
    <w:rsid w:val="00A9318C"/>
    <w:rsid w:val="00AA51CF"/>
    <w:rsid w:val="00AC5A21"/>
    <w:rsid w:val="00BB22E9"/>
    <w:rsid w:val="00BD22E8"/>
    <w:rsid w:val="00BD7AB7"/>
    <w:rsid w:val="00C12865"/>
    <w:rsid w:val="00C37045"/>
    <w:rsid w:val="00C82208"/>
    <w:rsid w:val="00C939F3"/>
    <w:rsid w:val="00CC2FF2"/>
    <w:rsid w:val="00D0665E"/>
    <w:rsid w:val="00D4262F"/>
    <w:rsid w:val="00D44F43"/>
    <w:rsid w:val="00E1507C"/>
    <w:rsid w:val="00E57FF8"/>
    <w:rsid w:val="00F1602C"/>
    <w:rsid w:val="00F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386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2208"/>
  </w:style>
  <w:style w:type="paragraph" w:styleId="Fuzeile">
    <w:name w:val="footer"/>
    <w:basedOn w:val="Standard"/>
    <w:link w:val="FuzeileZchn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2208"/>
  </w:style>
  <w:style w:type="table" w:styleId="Tabellenraster">
    <w:name w:val="Table Grid"/>
    <w:basedOn w:val="NormaleTabelle"/>
    <w:rsid w:val="00746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46DA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6DAF"/>
    <w:rPr>
      <w:color w:val="605E5C"/>
      <w:shd w:val="clear" w:color="auto" w:fill="E1DFDD"/>
    </w:rPr>
  </w:style>
  <w:style w:type="paragraph" w:customStyle="1" w:styleId="CP">
    <w:name w:val="CP"/>
    <w:basedOn w:val="Standard"/>
    <w:next w:val="Standard"/>
    <w:uiPriority w:val="99"/>
    <w:rsid w:val="00FB41E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</w:rPr>
  </w:style>
  <w:style w:type="paragraph" w:customStyle="1" w:styleId="KeinAbsatzformat">
    <w:name w:val="[Kein Absatzformat]"/>
    <w:rsid w:val="00FB41E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P">
    <w:name w:val="BP"/>
    <w:basedOn w:val="CP"/>
    <w:uiPriority w:val="99"/>
    <w:rsid w:val="00FB41EB"/>
    <w:pPr>
      <w:tabs>
        <w:tab w:val="clear" w:pos="170"/>
        <w:tab w:val="left" w:pos="283"/>
      </w:tabs>
      <w:spacing w:line="180" w:lineRule="atLeast"/>
      <w:ind w:left="283" w:hanging="283"/>
    </w:pPr>
  </w:style>
  <w:style w:type="paragraph" w:styleId="Kommentartext">
    <w:name w:val="annotation text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3DE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3DE4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3D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4182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6875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B1A89395-6F3C-4A45-B85F-4B41DF05F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55077-A05E-4DB0-B89E-923F39BC2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3298B-A693-4CD7-800E-7148DBACD89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fa3695f-fc9d-43a0-9b89-e443cfa54e9f"/>
    <ds:schemaRef ds:uri="0c9fabd4-836a-42ce-ab3b-240b75e507c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TERRIA AMICO</dc:subject>
  <dc:creator>Ammon Felix</dc:creator>
  <cp:keywords/>
  <dc:description/>
  <cp:lastModifiedBy>Tyrakowska Edyta</cp:lastModifiedBy>
  <cp:revision>3</cp:revision>
  <cp:lastPrinted>2022-08-31T08:21:00Z</cp:lastPrinted>
  <dcterms:created xsi:type="dcterms:W3CDTF">2022-09-19T11:27:00Z</dcterms:created>
  <dcterms:modified xsi:type="dcterms:W3CDTF">2022-09-22T09:08:00Z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