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Default="00774C2F" w:rsidP="00774C2F">
      <w:pPr>
        <w:jc w:val="both"/>
        <w:rPr>
          <w:rFonts w:ascii="Arial" w:hAnsi="Arial"/>
          <w:b/>
          <w:sz w:val="32"/>
          <w:szCs w:val="32"/>
          <w:lang w:val="pl-PL"/>
        </w:rPr>
      </w:pPr>
    </w:p>
    <w:p w:rsidR="00520AC9" w:rsidRPr="006712C4" w:rsidRDefault="00520AC9" w:rsidP="00774C2F">
      <w:pPr>
        <w:jc w:val="both"/>
        <w:rPr>
          <w:rFonts w:ascii="Arial" w:hAnsi="Arial"/>
          <w:b/>
          <w:sz w:val="32"/>
          <w:szCs w:val="32"/>
          <w:lang w:val="pl-PL"/>
        </w:rPr>
      </w:pPr>
    </w:p>
    <w:p w:rsidR="00441306" w:rsidRPr="006712C4" w:rsidRDefault="006712C4" w:rsidP="00F1106A">
      <w:pPr>
        <w:spacing w:line="360" w:lineRule="auto"/>
        <w:rPr>
          <w:rFonts w:ascii="Arial" w:hAnsi="Arial"/>
          <w:sz w:val="40"/>
          <w:szCs w:val="40"/>
          <w:lang w:val="pl-PL"/>
        </w:rPr>
      </w:pPr>
      <w:proofErr w:type="spellStart"/>
      <w:r w:rsidRPr="006712C4">
        <w:rPr>
          <w:rFonts w:ascii="Arial" w:hAnsi="Arial"/>
          <w:sz w:val="40"/>
          <w:szCs w:val="40"/>
          <w:lang w:val="pl-PL"/>
        </w:rPr>
        <w:t>Pöttinger</w:t>
      </w:r>
      <w:proofErr w:type="spellEnd"/>
      <w:r w:rsidRPr="006712C4">
        <w:rPr>
          <w:rFonts w:ascii="Arial" w:hAnsi="Arial"/>
          <w:sz w:val="40"/>
          <w:szCs w:val="40"/>
          <w:lang w:val="pl-PL"/>
        </w:rPr>
        <w:t xml:space="preserve"> </w:t>
      </w:r>
      <w:r w:rsidR="00166D98">
        <w:rPr>
          <w:rFonts w:ascii="Arial" w:hAnsi="Arial"/>
          <w:sz w:val="40"/>
          <w:szCs w:val="40"/>
          <w:lang w:val="pl-PL"/>
        </w:rPr>
        <w:t xml:space="preserve">TEGOSEM – </w:t>
      </w:r>
      <w:r w:rsidR="00520AC9" w:rsidRPr="00520AC9">
        <w:rPr>
          <w:rFonts w:ascii="Arial" w:hAnsi="Arial"/>
          <w:sz w:val="40"/>
          <w:szCs w:val="40"/>
          <w:lang w:val="pl-PL"/>
        </w:rPr>
        <w:t xml:space="preserve"> do wysiewu poplonu </w:t>
      </w:r>
    </w:p>
    <w:p w:rsidR="00520AC9" w:rsidRPr="00B70C60" w:rsidRDefault="00520AC9" w:rsidP="00520AC9">
      <w:pPr>
        <w:pStyle w:val="StandardWeb"/>
        <w:spacing w:line="360" w:lineRule="auto"/>
        <w:jc w:val="both"/>
        <w:rPr>
          <w:rFonts w:ascii="Arial" w:hAnsi="Arial" w:cs="Arial"/>
          <w:i/>
          <w:lang w:val="pl-PL"/>
        </w:rPr>
      </w:pPr>
      <w:r w:rsidRPr="00B70C60">
        <w:rPr>
          <w:rFonts w:ascii="Arial" w:hAnsi="Arial" w:cs="Arial"/>
          <w:i/>
          <w:lang w:val="pl-PL"/>
        </w:rPr>
        <w:t>Maszy</w:t>
      </w:r>
      <w:r w:rsidR="00B70C60">
        <w:rPr>
          <w:rFonts w:ascii="Arial" w:hAnsi="Arial" w:cs="Arial"/>
          <w:i/>
          <w:lang w:val="pl-PL"/>
        </w:rPr>
        <w:t xml:space="preserve">na do poplonów TEGOSEM </w:t>
      </w:r>
      <w:r w:rsidR="00B70C60" w:rsidRPr="00B70C60">
        <w:rPr>
          <w:rFonts w:ascii="Arial" w:hAnsi="Arial" w:cs="Arial"/>
          <w:i/>
          <w:lang w:val="pl-PL"/>
        </w:rPr>
        <w:t>Pöttinger</w:t>
      </w:r>
      <w:r w:rsidRPr="00B70C60">
        <w:rPr>
          <w:rFonts w:ascii="Arial" w:hAnsi="Arial" w:cs="Arial"/>
          <w:i/>
          <w:lang w:val="pl-PL"/>
        </w:rPr>
        <w:t xml:space="preserve"> może pracować w kombinacji z kultywatorem lub broną talerzową umożliwiając w jednym przejeździe uprawę gleby i wysiew poplonu. Prowadzi to do oszczędności czasu, kosztów i zmniejsza ilość przejazdów po polu.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 xml:space="preserve">TEGOSEM może pracować zarówno z maszynami na zaczepie trzypunktowym, jak również z maszynami ciąganymi. Jest wyposażony w konsolę zaczepu i pomost załadowczy. Jako zwarta jednostka pomost załadowczy ze stopniem i zbiornik na ziarno są idealnie do siebie dopasowane i spełniają nowe normy CE oraz przepisy bezpieczeństwa. TEGOSEM może być zastosowany nawet w maszynach wyposażonych w wał z szyną </w:t>
      </w:r>
      <w:proofErr w:type="spellStart"/>
      <w:r w:rsidRPr="00520AC9">
        <w:rPr>
          <w:rFonts w:ascii="Arial" w:hAnsi="Arial" w:cs="Arial"/>
          <w:lang w:val="pl-PL"/>
        </w:rPr>
        <w:t>zagarniaczy</w:t>
      </w:r>
      <w:proofErr w:type="spellEnd"/>
      <w:r w:rsidRPr="00520AC9">
        <w:rPr>
          <w:rFonts w:ascii="Arial" w:hAnsi="Arial" w:cs="Arial"/>
          <w:lang w:val="pl-PL"/>
        </w:rPr>
        <w:t>.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Style w:val="Fett"/>
          <w:rFonts w:ascii="Arial" w:hAnsi="Arial" w:cs="Arial"/>
          <w:lang w:val="pl-PL"/>
        </w:rPr>
        <w:t>Precyzyjny wysiew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 xml:space="preserve">TEGOSEM oferuje wysiew szerokiego spektrum nasion: od gorczycy przez trawę i rzepak po nasiona grochu i fasoli. Dozowanie jest napędzane elektrycznie. Seryjnie wyposażony w  dwa różne wałki wysiewające daje możliwość dokładnego wysiania żądanych nasion,  również przy małych ilościach </w:t>
      </w:r>
      <w:proofErr w:type="spellStart"/>
      <w:r w:rsidRPr="00520AC9">
        <w:rPr>
          <w:rFonts w:ascii="Arial" w:hAnsi="Arial" w:cs="Arial"/>
          <w:lang w:val="pl-PL"/>
        </w:rPr>
        <w:t>wysiewu.Rozdzielenia</w:t>
      </w:r>
      <w:proofErr w:type="spellEnd"/>
      <w:r w:rsidRPr="00520AC9">
        <w:rPr>
          <w:rFonts w:ascii="Arial" w:hAnsi="Arial" w:cs="Arial"/>
          <w:lang w:val="pl-PL"/>
        </w:rPr>
        <w:t xml:space="preserve"> nasion następuje pneumatycznie przez blachy rozdzielające. To gwarantuje dokładny, niezależny od warunków pogodowych wysiew. Próba kręcona jest łatwa do przeprowadzenia: proces rozpoczyna się od naciśnięcia guzika na maszynie. 20 sekund próby kręconej wystarczy, aby ustawić żądaną dawkę wysiewu. Worek do próby kręconej jest dostarczany wraz z maszyną.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Style w:val="Fett"/>
          <w:rFonts w:ascii="Arial" w:hAnsi="Arial" w:cs="Arial"/>
          <w:lang w:val="pl-PL"/>
        </w:rPr>
        <w:t>Wyposażenie i obsługa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 xml:space="preserve">TEGOSEM jest seryjnie wyposażony w prosty sterownik, przez który jest regulowany  i kontrolowany wałek wysiewający oraz regulowana jest elektroniczne ilość wysiewu. Wałek wysiewający jest sterowany niezależnie od prędkości elektrycznie i bezstopniowo regulowany z kabiny ciągnika. </w:t>
      </w:r>
      <w:r w:rsidRPr="00520AC9">
        <w:rPr>
          <w:rFonts w:ascii="Arial" w:hAnsi="Arial" w:cs="Arial"/>
          <w:lang w:val="pl-PL"/>
        </w:rPr>
        <w:lastRenderedPageBreak/>
        <w:t xml:space="preserve">Ponadto sterownik jest wyposażony we wskaźnik w kg/ha, funkcję dozowania wstępnego, zarządzanie na </w:t>
      </w:r>
      <w:proofErr w:type="spellStart"/>
      <w:r w:rsidRPr="00520AC9">
        <w:rPr>
          <w:rFonts w:ascii="Arial" w:hAnsi="Arial" w:cs="Arial"/>
          <w:lang w:val="pl-PL"/>
        </w:rPr>
        <w:t>uwrociu</w:t>
      </w:r>
      <w:proofErr w:type="spellEnd"/>
      <w:r w:rsidRPr="00520AC9">
        <w:rPr>
          <w:rFonts w:ascii="Arial" w:hAnsi="Arial" w:cs="Arial"/>
          <w:lang w:val="pl-PL"/>
        </w:rPr>
        <w:t>,  funkcję opróżniania zbiornika, automatyczną próbę kręconą i licznik godzin całkowity, licznik godzin dziennych, jak również licznik hektarów całkowitych i licznik hektarów dziennych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 xml:space="preserve">Czujnik stanu wypełnienia zbiornika na ziarno, czujnik  DGPS dla sygnału prędkości, czujniki na cięgle górnym lub podwoziu do uruchamiania- zatrzymania dozowania i platforma do obsługi charakteryzują nowego </w:t>
      </w:r>
      <w:proofErr w:type="spellStart"/>
      <w:r w:rsidRPr="00520AC9">
        <w:rPr>
          <w:rFonts w:ascii="Arial" w:hAnsi="Arial" w:cs="Arial"/>
          <w:lang w:val="pl-PL"/>
        </w:rPr>
        <w:t>TEGOSEMa</w:t>
      </w:r>
      <w:proofErr w:type="spellEnd"/>
      <w:r w:rsidRPr="00520AC9">
        <w:rPr>
          <w:rFonts w:ascii="Arial" w:hAnsi="Arial" w:cs="Arial"/>
          <w:lang w:val="pl-PL"/>
        </w:rPr>
        <w:t>.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>Przy hydraulicznym napędzie dmuchawy, aby zapewnić większe bezpieczeństwo przy uruchomieniu, został wbudowany bezpiecznik ciśnieniowy. Dwa wałki dozujące (do nasion małych i dużych) , które można wymieniać bez użycia narzędzi dopełniają ofertę.</w:t>
      </w:r>
    </w:p>
    <w:p w:rsidR="00520AC9" w:rsidRP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proofErr w:type="spellStart"/>
      <w:r w:rsidRPr="00520AC9">
        <w:rPr>
          <w:rFonts w:ascii="Arial" w:hAnsi="Arial" w:cs="Arial"/>
          <w:lang w:val="pl-PL"/>
        </w:rPr>
        <w:t>PÖTTINGER</w:t>
      </w:r>
      <w:proofErr w:type="spellEnd"/>
      <w:r w:rsidRPr="00520AC9">
        <w:rPr>
          <w:rFonts w:ascii="Arial" w:hAnsi="Arial" w:cs="Arial"/>
          <w:lang w:val="pl-PL"/>
        </w:rPr>
        <w:t xml:space="preserve">  zwraca dużą uwagę na dostępność i komfort przy napełnianiu zbiornika na ziarno. Dlatego maszyny na sztywnym trzypunktowym zawieszeniu są montowane na wale, natomiast maszyny składane z zawieszeniem trzypunktowym na uchwycie oświetlenia (pojemność zbiornika 200 litrów). W przypadku kultywatorów ciąganych lub bron talerzowych TEGOSEM (500 litrów) jest montowany na dyszlu. Zaletą tego rozwiązania jest to, że wąski zbiornik jest osadzony z przodu dociążając w ten sposób narzędzia i wspomagając </w:t>
      </w:r>
      <w:proofErr w:type="spellStart"/>
      <w:r w:rsidRPr="00520AC9">
        <w:rPr>
          <w:rFonts w:ascii="Arial" w:hAnsi="Arial" w:cs="Arial"/>
          <w:lang w:val="pl-PL"/>
        </w:rPr>
        <w:t>siłe</w:t>
      </w:r>
      <w:proofErr w:type="spellEnd"/>
      <w:r w:rsidRPr="00520AC9">
        <w:rPr>
          <w:rFonts w:ascii="Arial" w:hAnsi="Arial" w:cs="Arial"/>
          <w:lang w:val="pl-PL"/>
        </w:rPr>
        <w:t xml:space="preserve"> podparcia i przez to redukując wibracje.</w:t>
      </w:r>
    </w:p>
    <w:p w:rsidR="00520AC9" w:rsidRDefault="00520AC9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  <w:r w:rsidRPr="00520AC9">
        <w:rPr>
          <w:rFonts w:ascii="Arial" w:hAnsi="Arial" w:cs="Arial"/>
          <w:lang w:val="pl-PL"/>
        </w:rPr>
        <w:t xml:space="preserve">Wymogi </w:t>
      </w:r>
      <w:proofErr w:type="spellStart"/>
      <w:r w:rsidRPr="00520AC9">
        <w:rPr>
          <w:rFonts w:ascii="Arial" w:hAnsi="Arial" w:cs="Arial"/>
          <w:lang w:val="pl-PL"/>
        </w:rPr>
        <w:t>technicze</w:t>
      </w:r>
      <w:proofErr w:type="spellEnd"/>
      <w:r w:rsidRPr="00520AC9">
        <w:rPr>
          <w:rFonts w:ascii="Arial" w:hAnsi="Arial" w:cs="Arial"/>
          <w:lang w:val="pl-PL"/>
        </w:rPr>
        <w:t> </w:t>
      </w:r>
      <w:proofErr w:type="spellStart"/>
      <w:r w:rsidRPr="00520AC9">
        <w:rPr>
          <w:rFonts w:ascii="Arial" w:hAnsi="Arial" w:cs="Arial"/>
          <w:lang w:val="pl-PL"/>
        </w:rPr>
        <w:t>TEGOSEMa</w:t>
      </w:r>
      <w:proofErr w:type="spellEnd"/>
      <w:r w:rsidRPr="00520AC9">
        <w:rPr>
          <w:rFonts w:ascii="Arial" w:hAnsi="Arial" w:cs="Arial"/>
          <w:lang w:val="pl-PL"/>
        </w:rPr>
        <w:t xml:space="preserve"> to trzybiegunowa wtyczka (do sterowania wszystkimi maszynami i napędu dmuchawy w maszynach o szer. rob. 3 i 4 m) lub zawór jednostronnego działania z wolnym spływem oleju (wielkość 4) do dmuchawy hydraulicznej w maszynach od 5 m szerokości roboczej oraz we wszystkich maszynach ciąganych. Doposażenie maszyn </w:t>
      </w:r>
      <w:proofErr w:type="spellStart"/>
      <w:r w:rsidRPr="00520AC9">
        <w:rPr>
          <w:rFonts w:ascii="Arial" w:hAnsi="Arial" w:cs="Arial"/>
          <w:lang w:val="pl-PL"/>
        </w:rPr>
        <w:t>ciaganych</w:t>
      </w:r>
      <w:proofErr w:type="spellEnd"/>
      <w:r w:rsidRPr="00520AC9">
        <w:rPr>
          <w:rFonts w:ascii="Arial" w:hAnsi="Arial" w:cs="Arial"/>
          <w:lang w:val="pl-PL"/>
        </w:rPr>
        <w:t xml:space="preserve"> i składanych w TEGOSEM nie jest możliwe.</w:t>
      </w: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Pr="00B70C60" w:rsidRDefault="002C7922" w:rsidP="002C7922">
      <w:pPr>
        <w:rPr>
          <w:rFonts w:cs="Arial"/>
          <w:b/>
          <w:szCs w:val="22"/>
          <w:lang w:val="pl-PL"/>
        </w:rPr>
      </w:pPr>
    </w:p>
    <w:p w:rsidR="002C7922" w:rsidRDefault="002C7922" w:rsidP="002C7922">
      <w:pPr>
        <w:rPr>
          <w:rFonts w:cs="Arial"/>
          <w:b/>
          <w:szCs w:val="22"/>
          <w:lang w:val="de-DE"/>
        </w:rPr>
      </w:pPr>
      <w:proofErr w:type="spellStart"/>
      <w:r>
        <w:rPr>
          <w:rFonts w:cs="Arial"/>
          <w:b/>
          <w:szCs w:val="22"/>
          <w:lang w:val="de-DE"/>
        </w:rPr>
        <w:t>Podgląd</w:t>
      </w:r>
      <w:proofErr w:type="spellEnd"/>
      <w:r>
        <w:rPr>
          <w:rFonts w:cs="Arial"/>
          <w:b/>
          <w:szCs w:val="22"/>
          <w:lang w:val="de-DE"/>
        </w:rPr>
        <w:t xml:space="preserve"> </w:t>
      </w:r>
      <w:proofErr w:type="spellStart"/>
      <w:r>
        <w:rPr>
          <w:rFonts w:cs="Arial"/>
          <w:b/>
          <w:szCs w:val="22"/>
          <w:lang w:val="de-DE"/>
        </w:rPr>
        <w:t>zdjęć</w:t>
      </w:r>
      <w:proofErr w:type="spellEnd"/>
      <w:r>
        <w:rPr>
          <w:rFonts w:cs="Arial"/>
          <w:b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961"/>
      </w:tblGrid>
      <w:tr w:rsidR="002C7922" w:rsidTr="00EF4C42">
        <w:tc>
          <w:tcPr>
            <w:tcW w:w="4361" w:type="dxa"/>
            <w:vAlign w:val="center"/>
          </w:tcPr>
          <w:p w:rsidR="002C7922" w:rsidRDefault="002C7922" w:rsidP="00EF4C42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:rsidR="002C7922" w:rsidRDefault="002C7922" w:rsidP="00EF4C42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 w:rsidRPr="007E0A01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2" descr="http://www.poettinger.at/img/landtechnik/collection/scheibeneggen/tegosem_200_terradisc_3001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ettinger.at/img/landtechnik/collection/scheibeneggen/tegosem_200_terradisc_3001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2C7922" w:rsidRDefault="002C7922" w:rsidP="00EF4C42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:rsidR="002C7922" w:rsidRDefault="002C7922" w:rsidP="00EF4C42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78324" cy="781050"/>
                  <wp:effectExtent l="19050" t="0" r="0" b="0"/>
                  <wp:docPr id="3" name="Bild 1" descr="https://cdn.poettinger.at/img/landtechnik/collection/scheibeneggen/terradisc_6001t_tegosem_500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6001t_tegosem_500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24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922" w:rsidRPr="000E3DEC" w:rsidTr="00EF4C42">
        <w:trPr>
          <w:trHeight w:val="377"/>
        </w:trPr>
        <w:tc>
          <w:tcPr>
            <w:tcW w:w="4361" w:type="dxa"/>
          </w:tcPr>
          <w:p w:rsidR="002C7922" w:rsidRPr="007E0A01" w:rsidRDefault="002C7922" w:rsidP="00EF4C42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>TEGOSEM 200 / TERRADISC 3001</w:t>
            </w:r>
          </w:p>
        </w:tc>
        <w:tc>
          <w:tcPr>
            <w:tcW w:w="4961" w:type="dxa"/>
          </w:tcPr>
          <w:p w:rsidR="002C7922" w:rsidRPr="007E0A01" w:rsidRDefault="002C7922" w:rsidP="00EF4C42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 xml:space="preserve">TEGOSEM </w:t>
            </w:r>
            <w:r>
              <w:rPr>
                <w:rFonts w:cs="Arial"/>
                <w:b/>
                <w:sz w:val="20"/>
                <w:szCs w:val="18"/>
                <w:lang w:val="de-DE"/>
              </w:rPr>
              <w:t>5</w:t>
            </w: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 xml:space="preserve">00 / TERRADISC </w:t>
            </w:r>
            <w:r>
              <w:rPr>
                <w:rFonts w:cs="Arial"/>
                <w:b/>
                <w:sz w:val="20"/>
                <w:szCs w:val="18"/>
                <w:lang w:val="de-DE"/>
              </w:rPr>
              <w:t>6</w:t>
            </w: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 xml:space="preserve">001 </w:t>
            </w:r>
            <w:r>
              <w:rPr>
                <w:rFonts w:cs="Arial"/>
                <w:b/>
                <w:sz w:val="20"/>
                <w:szCs w:val="18"/>
                <w:lang w:val="de-DE"/>
              </w:rPr>
              <w:t>T</w:t>
            </w:r>
          </w:p>
        </w:tc>
      </w:tr>
      <w:tr w:rsidR="002C7922" w:rsidTr="00EF4C42">
        <w:tc>
          <w:tcPr>
            <w:tcW w:w="4361" w:type="dxa"/>
          </w:tcPr>
          <w:p w:rsidR="002C7922" w:rsidRPr="00396BB6" w:rsidRDefault="009069D9" w:rsidP="00EF4C42">
            <w:pPr>
              <w:rPr>
                <w:rFonts w:cs="Arial"/>
                <w:sz w:val="18"/>
                <w:szCs w:val="18"/>
              </w:rPr>
            </w:pPr>
            <w:hyperlink r:id="rId10" w:history="1">
              <w:r w:rsidR="002C7922" w:rsidRPr="00396BB6">
                <w:rPr>
                  <w:rStyle w:val="Hyperlink"/>
                  <w:rFonts w:cs="Arial"/>
                  <w:sz w:val="18"/>
                  <w:szCs w:val="18"/>
                </w:rPr>
                <w:t>http://www.poettinger.at/de_in/Newsroom/Pressebild/3453</w:t>
              </w:r>
            </w:hyperlink>
          </w:p>
        </w:tc>
        <w:tc>
          <w:tcPr>
            <w:tcW w:w="4961" w:type="dxa"/>
          </w:tcPr>
          <w:p w:rsidR="002C7922" w:rsidRPr="00E921A7" w:rsidRDefault="009069D9" w:rsidP="00EF4C42">
            <w:pPr>
              <w:rPr>
                <w:rFonts w:ascii="Tms Rmn" w:hAnsi="Tms Rmn"/>
                <w:u w:val="single"/>
                <w:lang w:eastAsia="de-DE"/>
              </w:rPr>
            </w:pPr>
            <w:hyperlink r:id="rId11" w:history="1">
              <w:r w:rsidR="002C7922" w:rsidRPr="00E921A7">
                <w:rPr>
                  <w:rFonts w:ascii="Helv" w:hAnsi="Helv" w:cs="Helv"/>
                  <w:color w:val="0000FF"/>
                  <w:sz w:val="20"/>
                  <w:szCs w:val="20"/>
                  <w:u w:val="single"/>
                  <w:lang w:eastAsia="de-DE"/>
                </w:rPr>
                <w:t>https://www.poettinger.at/de_at/Newsroom/Pressebild/4049</w:t>
              </w:r>
            </w:hyperlink>
          </w:p>
          <w:p w:rsidR="002C7922" w:rsidRPr="00396BB6" w:rsidRDefault="002C7922" w:rsidP="00EF4C4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C7922" w:rsidRPr="00B70C60" w:rsidRDefault="002C7922" w:rsidP="002C7922">
      <w:pPr>
        <w:jc w:val="both"/>
        <w:rPr>
          <w:rFonts w:cs="Arial"/>
          <w:szCs w:val="22"/>
        </w:rPr>
      </w:pPr>
    </w:p>
    <w:p w:rsidR="002C7922" w:rsidRPr="002C7922" w:rsidRDefault="002C7922" w:rsidP="002C7922">
      <w:pPr>
        <w:jc w:val="both"/>
        <w:rPr>
          <w:rFonts w:cs="Arial"/>
          <w:szCs w:val="22"/>
          <w:lang w:val="pl-PL"/>
        </w:rPr>
      </w:pPr>
      <w:r w:rsidRPr="002C7922">
        <w:rPr>
          <w:rFonts w:cs="Arial"/>
          <w:szCs w:val="22"/>
          <w:lang w:val="pl-PL"/>
        </w:rPr>
        <w:t>Pozostałe zdjęcia w jakości do druku: http://www.poettinger.at/presse</w:t>
      </w:r>
    </w:p>
    <w:p w:rsidR="002C7922" w:rsidRPr="002C7922" w:rsidRDefault="002C7922" w:rsidP="00520AC9">
      <w:pPr>
        <w:pStyle w:val="StandardWeb"/>
        <w:spacing w:line="360" w:lineRule="auto"/>
        <w:jc w:val="both"/>
        <w:rPr>
          <w:rFonts w:ascii="Arial" w:hAnsi="Arial" w:cs="Arial"/>
          <w:lang w:val="pl-PL"/>
        </w:rPr>
      </w:pPr>
    </w:p>
    <w:p w:rsidR="00520AC9" w:rsidRPr="002C7922" w:rsidRDefault="00520AC9" w:rsidP="00520AC9">
      <w:pPr>
        <w:pStyle w:val="StandardWeb"/>
        <w:spacing w:line="300" w:lineRule="atLeast"/>
        <w:rPr>
          <w:rFonts w:ascii="Arial" w:hAnsi="Arial" w:cs="Arial"/>
          <w:sz w:val="21"/>
          <w:szCs w:val="21"/>
          <w:lang w:val="pl-PL"/>
        </w:rPr>
      </w:pPr>
    </w:p>
    <w:sectPr w:rsidR="00520AC9" w:rsidRPr="002C7922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7C" w:rsidRDefault="00736B7C" w:rsidP="00305DE3">
      <w:r>
        <w:separator/>
      </w:r>
    </w:p>
  </w:endnote>
  <w:endnote w:type="continuationSeparator" w:id="0">
    <w:p w:rsidR="00736B7C" w:rsidRDefault="00736B7C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22" w:rsidRDefault="002C7922" w:rsidP="002C792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GmbH </w:t>
    </w:r>
  </w:p>
  <w:p w:rsidR="002C7922" w:rsidRPr="002C7922" w:rsidRDefault="002C7922" w:rsidP="002C7922">
    <w:pPr>
      <w:rPr>
        <w:rFonts w:cs="Arial"/>
        <w:b/>
        <w:sz w:val="18"/>
        <w:szCs w:val="18"/>
        <w:lang w:val="pl-PL"/>
      </w:rPr>
    </w:pPr>
    <w:r w:rsidRPr="002C7922">
      <w:rPr>
        <w:rFonts w:cs="Arial"/>
        <w:b/>
        <w:sz w:val="18"/>
        <w:szCs w:val="18"/>
        <w:lang w:val="pl-PL"/>
      </w:rPr>
      <w:t xml:space="preserve">Edyta Tyrakowska, </w:t>
    </w:r>
    <w:hyperlink r:id="rId1" w:history="1">
      <w:r w:rsidRPr="002C7922">
        <w:rPr>
          <w:rStyle w:val="Hyperlink"/>
          <w:rFonts w:cs="Arial"/>
          <w:b/>
          <w:sz w:val="18"/>
          <w:szCs w:val="18"/>
          <w:lang w:val="pl-PL"/>
        </w:rPr>
        <w:t>edyta.tyrakowska@poettinger.at</w:t>
      </w:r>
    </w:hyperlink>
    <w:r w:rsidRPr="002C7922">
      <w:rPr>
        <w:rFonts w:cs="Arial"/>
        <w:b/>
        <w:sz w:val="18"/>
        <w:szCs w:val="18"/>
        <w:lang w:val="pl-PL"/>
      </w:rPr>
      <w:t>, 603770957</w:t>
    </w:r>
  </w:p>
  <w:p w:rsidR="002C7922" w:rsidRPr="00796525" w:rsidRDefault="002C7922" w:rsidP="002C7922">
    <w:pPr>
      <w:rPr>
        <w:rFonts w:cs="Arial"/>
        <w:sz w:val="18"/>
        <w:szCs w:val="18"/>
        <w:lang w:val="de-DE"/>
      </w:rPr>
    </w:pPr>
    <w:r w:rsidRPr="002C7922">
      <w:rPr>
        <w:rFonts w:cs="Arial"/>
        <w:sz w:val="18"/>
        <w:szCs w:val="18"/>
        <w:lang w:val="pl-PL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736B7C" w:rsidRPr="00B70C60" w:rsidRDefault="009069D9" w:rsidP="002C7922">
    <w:pPr>
      <w:pStyle w:val="Fuzeile"/>
      <w:rPr>
        <w:rFonts w:ascii="Arial" w:hAnsi="Arial" w:cs="Arial"/>
        <w:sz w:val="20"/>
        <w:szCs w:val="20"/>
        <w:lang w:val="de-DE"/>
      </w:rPr>
    </w:pPr>
    <w:hyperlink r:id="rId2" w:history="1">
      <w:r w:rsidR="002C7922" w:rsidRPr="00796525">
        <w:rPr>
          <w:rFonts w:cs="Arial"/>
          <w:sz w:val="18"/>
          <w:szCs w:val="18"/>
          <w:lang w:val="de-DE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7C" w:rsidRDefault="00736B7C" w:rsidP="00305DE3">
      <w:r>
        <w:separator/>
      </w:r>
    </w:p>
  </w:footnote>
  <w:footnote w:type="continuationSeparator" w:id="0">
    <w:p w:rsidR="00736B7C" w:rsidRDefault="00736B7C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C9" w:rsidRDefault="00520AC9" w:rsidP="00520AC9">
    <w:pPr>
      <w:pStyle w:val="Kopfzeile"/>
      <w:jc w:val="center"/>
      <w:rPr>
        <w:rFonts w:ascii="Arial" w:hAnsi="Arial" w:cs="Arial"/>
        <w:sz w:val="32"/>
        <w:szCs w:val="32"/>
        <w:lang w:val="pl-PL"/>
      </w:rPr>
    </w:pPr>
    <w:r w:rsidRPr="00520AC9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-799042</wp:posOffset>
          </wp:positionV>
          <wp:extent cx="1472847" cy="643467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0AC9" w:rsidRPr="00520AC9" w:rsidRDefault="00520AC9" w:rsidP="00520AC9">
    <w:pPr>
      <w:pStyle w:val="Kopfzeile"/>
      <w:rPr>
        <w:rFonts w:ascii="Arial" w:hAnsi="Arial" w:cs="Arial"/>
      </w:rPr>
    </w:pPr>
    <w:r w:rsidRPr="006712C4">
      <w:rPr>
        <w:rFonts w:ascii="Arial" w:hAnsi="Arial" w:cs="Arial"/>
        <w:sz w:val="32"/>
        <w:szCs w:val="32"/>
        <w:lang w:val="pl-PL"/>
      </w:rPr>
      <w:t>Informacja prasowa</w:t>
    </w:r>
  </w:p>
  <w:p w:rsidR="00736B7C" w:rsidRDefault="00736B7C" w:rsidP="00774C2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399"/>
    <w:multiLevelType w:val="hybridMultilevel"/>
    <w:tmpl w:val="5B7C314E"/>
    <w:lvl w:ilvl="0" w:tplc="DCBA5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1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9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E3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F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09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E8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22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B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57274"/>
    <w:multiLevelType w:val="hybridMultilevel"/>
    <w:tmpl w:val="2CFE7C4C"/>
    <w:lvl w:ilvl="0" w:tplc="D99EF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E4E44">
      <w:start w:val="14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6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C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4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0F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AE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7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8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F6A54"/>
    <w:multiLevelType w:val="hybridMultilevel"/>
    <w:tmpl w:val="AE6006C2"/>
    <w:lvl w:ilvl="0" w:tplc="9D72B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F608">
      <w:start w:val="15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C2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E0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49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1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B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A8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41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A7ED9"/>
    <w:multiLevelType w:val="hybridMultilevel"/>
    <w:tmpl w:val="4596E46C"/>
    <w:lvl w:ilvl="0" w:tplc="B6BCD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25DCC">
      <w:start w:val="15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2B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E6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E6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0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25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2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2E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02101"/>
    <w:multiLevelType w:val="hybridMultilevel"/>
    <w:tmpl w:val="D30056AC"/>
    <w:lvl w:ilvl="0" w:tplc="8932A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E9A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7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AE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0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C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24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9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A5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D7FB8"/>
    <w:multiLevelType w:val="hybridMultilevel"/>
    <w:tmpl w:val="B82E6652"/>
    <w:lvl w:ilvl="0" w:tplc="0DC826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B693A"/>
    <w:multiLevelType w:val="hybridMultilevel"/>
    <w:tmpl w:val="645A4804"/>
    <w:lvl w:ilvl="0" w:tplc="3E1C1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2A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D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6C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6B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E5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4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D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4F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15237"/>
    <w:multiLevelType w:val="hybridMultilevel"/>
    <w:tmpl w:val="7B5CFB12"/>
    <w:lvl w:ilvl="0" w:tplc="831AE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E6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2C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62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EF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A9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41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C8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073C"/>
    <w:multiLevelType w:val="hybridMultilevel"/>
    <w:tmpl w:val="57245E52"/>
    <w:lvl w:ilvl="0" w:tplc="EC3E8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0E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F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AB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26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44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4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3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47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40F1B"/>
    <w:multiLevelType w:val="hybridMultilevel"/>
    <w:tmpl w:val="77D0076C"/>
    <w:lvl w:ilvl="0" w:tplc="11CAE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4E5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21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AA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CC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C0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AE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05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0646F"/>
    <w:rsid w:val="00096D82"/>
    <w:rsid w:val="000D4125"/>
    <w:rsid w:val="001512AD"/>
    <w:rsid w:val="00166D98"/>
    <w:rsid w:val="001D7D44"/>
    <w:rsid w:val="00252F94"/>
    <w:rsid w:val="002C7922"/>
    <w:rsid w:val="00305DE3"/>
    <w:rsid w:val="003318E2"/>
    <w:rsid w:val="00335416"/>
    <w:rsid w:val="00373EE1"/>
    <w:rsid w:val="003844E4"/>
    <w:rsid w:val="003A1044"/>
    <w:rsid w:val="00441306"/>
    <w:rsid w:val="00516783"/>
    <w:rsid w:val="00520AC9"/>
    <w:rsid w:val="00540627"/>
    <w:rsid w:val="00555409"/>
    <w:rsid w:val="005C4701"/>
    <w:rsid w:val="0061453E"/>
    <w:rsid w:val="00635E9B"/>
    <w:rsid w:val="006712C4"/>
    <w:rsid w:val="0067735A"/>
    <w:rsid w:val="00686FFF"/>
    <w:rsid w:val="00687F23"/>
    <w:rsid w:val="006D0148"/>
    <w:rsid w:val="00702DBC"/>
    <w:rsid w:val="00716266"/>
    <w:rsid w:val="00736B7C"/>
    <w:rsid w:val="007434CE"/>
    <w:rsid w:val="00746691"/>
    <w:rsid w:val="00774C2F"/>
    <w:rsid w:val="007D08A4"/>
    <w:rsid w:val="007E1B39"/>
    <w:rsid w:val="00803833"/>
    <w:rsid w:val="00807B84"/>
    <w:rsid w:val="00867895"/>
    <w:rsid w:val="008841C2"/>
    <w:rsid w:val="008956BD"/>
    <w:rsid w:val="009069D9"/>
    <w:rsid w:val="00911E51"/>
    <w:rsid w:val="009331E1"/>
    <w:rsid w:val="0097027E"/>
    <w:rsid w:val="00996C11"/>
    <w:rsid w:val="009C478D"/>
    <w:rsid w:val="009C587B"/>
    <w:rsid w:val="009D640E"/>
    <w:rsid w:val="00A4012E"/>
    <w:rsid w:val="00A86BCD"/>
    <w:rsid w:val="00AC6A78"/>
    <w:rsid w:val="00B1674D"/>
    <w:rsid w:val="00B219F7"/>
    <w:rsid w:val="00B22238"/>
    <w:rsid w:val="00B51280"/>
    <w:rsid w:val="00B70C60"/>
    <w:rsid w:val="00BA2BF8"/>
    <w:rsid w:val="00BC0DE0"/>
    <w:rsid w:val="00BE36FF"/>
    <w:rsid w:val="00C10241"/>
    <w:rsid w:val="00C20EAA"/>
    <w:rsid w:val="00C73109"/>
    <w:rsid w:val="00CD6CB2"/>
    <w:rsid w:val="00D805D9"/>
    <w:rsid w:val="00D92AA7"/>
    <w:rsid w:val="00DC14C9"/>
    <w:rsid w:val="00E87596"/>
    <w:rsid w:val="00EA3BEE"/>
    <w:rsid w:val="00EB09CE"/>
    <w:rsid w:val="00ED3889"/>
    <w:rsid w:val="00ED5D4B"/>
    <w:rsid w:val="00F1106A"/>
    <w:rsid w:val="00F52C85"/>
    <w:rsid w:val="00F5582D"/>
    <w:rsid w:val="00F716C3"/>
    <w:rsid w:val="00FC49A8"/>
    <w:rsid w:val="00FC68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7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7B84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C470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C4701"/>
    <w:rPr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5C4701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20AC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0AC9"/>
    <w:pPr>
      <w:spacing w:after="150"/>
    </w:pPr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9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922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2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4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8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8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0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1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1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5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58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2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1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0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0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6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8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17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3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56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0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5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42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43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5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2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1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93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8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29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1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67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45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9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9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1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6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1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11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49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8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39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62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98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39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22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45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eggen/tegosem_200_terradisc_3001_hq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de_at/Newsroom/Pressebild/40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ettinger.at/de_in/Newsroom/Pressebild/34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edyta.tyrako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Poettinger Maschinenfabrik GmbH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kuchpet</dc:creator>
  <cp:lastModifiedBy>tyraedy</cp:lastModifiedBy>
  <cp:revision>4</cp:revision>
  <cp:lastPrinted>2015-08-31T09:32:00Z</cp:lastPrinted>
  <dcterms:created xsi:type="dcterms:W3CDTF">2018-06-11T13:39:00Z</dcterms:created>
  <dcterms:modified xsi:type="dcterms:W3CDTF">2018-06-11T13:46:00Z</dcterms:modified>
</cp:coreProperties>
</file>